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bookmarkStart w:id="0" w:name="_GoBack"/>
      <w:bookmarkEnd w:id="0"/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6B47E5" w:rsidRPr="00AB115A" w:rsidRDefault="000A114B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063397">
        <w:rPr>
          <w:rFonts w:ascii="Arial Narrow" w:hAnsi="Arial Narrow" w:cs="Arial"/>
          <w:b/>
          <w:lang w:val="es-MX"/>
        </w:rPr>
        <w:t>UTA-ICTPM-0</w:t>
      </w:r>
      <w:r w:rsidR="00BA0076">
        <w:rPr>
          <w:rFonts w:ascii="Arial Narrow" w:hAnsi="Arial Narrow" w:cs="Arial"/>
          <w:b/>
          <w:lang w:val="es-MX"/>
        </w:rPr>
        <w:t>5</w:t>
      </w:r>
      <w:r w:rsidR="00E348DB">
        <w:rPr>
          <w:rFonts w:ascii="Arial Narrow" w:hAnsi="Arial Narrow" w:cs="Arial"/>
          <w:b/>
          <w:lang w:val="es-MX"/>
        </w:rPr>
        <w:t>-23</w:t>
      </w:r>
    </w:p>
    <w:p w:rsidR="001715FE" w:rsidRDefault="00E348DB" w:rsidP="00E229AE">
      <w:pPr>
        <w:jc w:val="center"/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 w:cs="Arial"/>
          <w:b/>
          <w:lang w:val="es-MX"/>
        </w:rPr>
        <w:t xml:space="preserve">PARA </w:t>
      </w:r>
      <w:r w:rsidR="00BA0076">
        <w:rPr>
          <w:rFonts w:ascii="Arial Narrow" w:hAnsi="Arial Narrow" w:cs="Arial"/>
          <w:b/>
          <w:lang w:val="es-MX"/>
        </w:rPr>
        <w:t>EL SUMINISTRO, INSTALACIÓN Y CONFIGURACIÓN DE SERVIDORES</w:t>
      </w:r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B115A" w:rsidRDefault="00E942EC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C82895">
        <w:rPr>
          <w:rFonts w:ascii="Arial Narrow" w:hAnsi="Arial Narrow" w:cs="Arial"/>
          <w:lang w:val="es-MX"/>
        </w:rPr>
        <w:t>4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BA0076">
        <w:rPr>
          <w:rFonts w:ascii="Arial Narrow" w:hAnsi="Arial Narrow" w:cs="Arial"/>
          <w:lang w:val="es-MX"/>
        </w:rPr>
        <w:t>31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C82895">
        <w:rPr>
          <w:rFonts w:ascii="Arial Narrow" w:hAnsi="Arial Narrow" w:cs="Arial"/>
          <w:lang w:val="es-MX"/>
        </w:rPr>
        <w:t>mayo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BA0076">
        <w:rPr>
          <w:rFonts w:ascii="Arial Narrow" w:hAnsi="Arial Narrow" w:cs="Arial"/>
          <w:b/>
          <w:lang w:val="es-MX"/>
        </w:rPr>
        <w:t>5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BA76F7">
        <w:rPr>
          <w:rFonts w:ascii="Arial Narrow" w:hAnsi="Arial Narrow" w:cs="Arial"/>
          <w:b/>
          <w:lang w:val="es-MX"/>
        </w:rPr>
        <w:t xml:space="preserve">PARA </w:t>
      </w:r>
      <w:r w:rsidR="00BA0076">
        <w:rPr>
          <w:rFonts w:ascii="Arial Narrow" w:hAnsi="Arial Narrow" w:cs="Arial"/>
          <w:b/>
          <w:lang w:val="es-MX"/>
        </w:rPr>
        <w:t>EL SUMINISTRO, INSTALACIÓN Y CONFIGURACIÓN DE SERVIDORES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98201D">
        <w:rPr>
          <w:rFonts w:ascii="Arial Narrow" w:hAnsi="Arial Narrow" w:cs="Arial"/>
          <w:lang w:val="es-MX"/>
        </w:rPr>
        <w:t xml:space="preserve"> apartado</w:t>
      </w:r>
      <w:r w:rsidR="004246B9">
        <w:rPr>
          <w:rFonts w:ascii="Arial Narrow" w:hAnsi="Arial Narrow" w:cs="Arial"/>
          <w:lang w:val="es-MX"/>
        </w:rPr>
        <w:t xml:space="preserve">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</w:t>
      </w:r>
      <w:r w:rsidR="00BA0076">
        <w:rPr>
          <w:rFonts w:ascii="Arial Narrow" w:hAnsi="Arial Narrow" w:cs="Arial"/>
          <w:lang w:val="es-MX"/>
        </w:rPr>
        <w:t xml:space="preserve">de Adquisiciones, Arrendamientos y Servicios del Estado de Aguascalientes, en lo sucesivo la Ley </w:t>
      </w:r>
      <w:r w:rsidRPr="00AB115A">
        <w:rPr>
          <w:rFonts w:ascii="Arial Narrow" w:hAnsi="Arial Narrow" w:cs="Arial"/>
          <w:lang w:val="es-MX"/>
        </w:rPr>
        <w:t xml:space="preserve">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BA0076">
        <w:rPr>
          <w:rFonts w:ascii="Arial Narrow" w:hAnsi="Arial Narrow" w:cs="Arial"/>
          <w:b/>
          <w:lang w:val="es-MX"/>
        </w:rPr>
        <w:t>5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E348DB">
        <w:rPr>
          <w:rFonts w:ascii="Arial Narrow" w:hAnsi="Arial Narrow" w:cs="Arial"/>
          <w:lang w:val="es-MX"/>
        </w:rPr>
        <w:t xml:space="preserve"> requirente, a cargo del Ing. Raúl Arnulfo Alfaro Rodríguez, </w:t>
      </w:r>
      <w:r w:rsidR="0098201D">
        <w:rPr>
          <w:rFonts w:ascii="Arial Narrow" w:hAnsi="Arial Narrow" w:cs="Arial"/>
          <w:lang w:val="es-MX"/>
        </w:rPr>
        <w:t xml:space="preserve">Encargado del </w:t>
      </w:r>
      <w:r w:rsidR="00E348DB">
        <w:rPr>
          <w:rFonts w:ascii="Arial Narrow" w:hAnsi="Arial Narrow" w:cs="Arial"/>
          <w:lang w:val="es-MX"/>
        </w:rPr>
        <w:t>Departamento de Infraestructura Informática, de la UNIVERSIDAD.</w:t>
      </w: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C82895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A0076" w:rsidRDefault="00BA0076" w:rsidP="00E229AE">
      <w:pPr>
        <w:jc w:val="both"/>
        <w:rPr>
          <w:rFonts w:ascii="Arial Narrow" w:hAnsi="Arial Narrow" w:cs="Arial"/>
          <w:lang w:val="es-MX"/>
        </w:rPr>
      </w:pPr>
    </w:p>
    <w:p w:rsidR="00C82895" w:rsidRPr="00267553" w:rsidRDefault="00C82895" w:rsidP="00E229AE">
      <w:pPr>
        <w:jc w:val="both"/>
        <w:rPr>
          <w:rFonts w:ascii="Arial Narrow" w:hAnsi="Arial Narrow" w:cs="Arial"/>
          <w:lang w:val="es-MX"/>
        </w:rPr>
      </w:pP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BA641C" w:rsidRPr="00C20EA7" w:rsidRDefault="00C20EA7" w:rsidP="00BA641C">
      <w:pPr>
        <w:rPr>
          <w:rFonts w:ascii="Arial Narrow" w:hAnsi="Arial Narrow" w:cs="Arial"/>
          <w:b/>
          <w:bCs/>
          <w:sz w:val="32"/>
          <w:szCs w:val="22"/>
        </w:rPr>
      </w:pPr>
      <w:r w:rsidRPr="00C20EA7">
        <w:rPr>
          <w:rFonts w:ascii="Arial Narrow" w:hAnsi="Arial Narrow" w:cs="Arial"/>
          <w:b/>
          <w:szCs w:val="20"/>
          <w:lang w:val="es-MX"/>
        </w:rPr>
        <w:lastRenderedPageBreak/>
        <w:t>INTERPHONET TELECOM</w:t>
      </w:r>
    </w:p>
    <w:p w:rsidR="001530DD" w:rsidRPr="00A60608" w:rsidRDefault="001530DD" w:rsidP="00E229AE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B04F09" w:rsidRPr="00C876C8" w:rsidRDefault="009055AF" w:rsidP="00E229AE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 w:rsidR="0020201D"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 w:rsidR="00C876C8">
        <w:rPr>
          <w:rFonts w:ascii="Arial Narrow" w:hAnsi="Arial Narrow" w:cs="Arial"/>
          <w:b/>
          <w:szCs w:val="28"/>
          <w:lang w:val="es-MX"/>
        </w:rPr>
        <w:t xml:space="preserve"> </w:t>
      </w:r>
      <w:r w:rsidR="00C876C8">
        <w:rPr>
          <w:rFonts w:ascii="Arial Narrow" w:hAnsi="Arial Narrow" w:cs="Arial"/>
          <w:szCs w:val="28"/>
          <w:lang w:val="es-MX"/>
        </w:rPr>
        <w:t>para la partida única.</w:t>
      </w: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9055AF" w:rsidRDefault="002E5144" w:rsidP="00A60608">
      <w:pPr>
        <w:jc w:val="both"/>
        <w:rPr>
          <w:rFonts w:ascii="Arial Narrow" w:hAnsi="Arial Narrow" w:cs="Arial"/>
          <w:b/>
          <w:bCs/>
          <w:szCs w:val="22"/>
        </w:rPr>
      </w:pPr>
      <w:r w:rsidRPr="002E5144">
        <w:rPr>
          <w:rFonts w:ascii="Arial Narrow" w:hAnsi="Arial Narrow" w:cs="Arial"/>
          <w:b/>
          <w:bCs/>
          <w:szCs w:val="22"/>
        </w:rPr>
        <w:t>DECA COMPUTACIÓN, S.A. DE C.V.</w:t>
      </w:r>
    </w:p>
    <w:p w:rsidR="002E5144" w:rsidRDefault="002E5144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C20EA7" w:rsidRPr="009055AF" w:rsidRDefault="00C20EA7" w:rsidP="00A60608">
      <w:pPr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9055AF" w:rsidRDefault="009055AF" w:rsidP="00BA641C">
      <w:pPr>
        <w:rPr>
          <w:rFonts w:ascii="Arial Narrow" w:hAnsi="Arial Narrow" w:cs="Arial"/>
          <w:b/>
          <w:bCs/>
          <w:szCs w:val="22"/>
        </w:rPr>
      </w:pPr>
    </w:p>
    <w:p w:rsidR="001530DD" w:rsidRDefault="002E5144" w:rsidP="001530DD">
      <w:pPr>
        <w:jc w:val="both"/>
        <w:rPr>
          <w:rFonts w:ascii="Arial Narrow" w:hAnsi="Arial Narrow" w:cs="Arial"/>
          <w:b/>
          <w:bCs/>
          <w:szCs w:val="22"/>
        </w:rPr>
      </w:pPr>
      <w:r w:rsidRPr="002E5144">
        <w:rPr>
          <w:rFonts w:ascii="Arial Narrow" w:hAnsi="Arial Narrow" w:cs="Arial"/>
          <w:b/>
          <w:bCs/>
          <w:szCs w:val="22"/>
        </w:rPr>
        <w:t>CONVERGENCIA DIGITAL E INFORMÁTICA, S.A. DE C.V.</w:t>
      </w:r>
    </w:p>
    <w:p w:rsidR="002E5144" w:rsidRPr="00A60608" w:rsidRDefault="002E5144" w:rsidP="001530DD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C20EA7" w:rsidRPr="00C876C8" w:rsidRDefault="00C20EA7" w:rsidP="00C20EA7">
      <w:pPr>
        <w:jc w:val="both"/>
        <w:rPr>
          <w:rFonts w:ascii="Arial Narrow" w:hAnsi="Arial Narrow" w:cs="Arial"/>
          <w:sz w:val="22"/>
          <w:lang w:val="es-MX"/>
        </w:rPr>
      </w:pPr>
      <w:r w:rsidRPr="009055AF">
        <w:rPr>
          <w:rFonts w:ascii="Arial Narrow" w:hAnsi="Arial Narrow" w:cs="Arial"/>
          <w:b/>
          <w:szCs w:val="16"/>
          <w:lang w:val="es-MX"/>
        </w:rPr>
        <w:t xml:space="preserve">CUMPLE </w:t>
      </w:r>
      <w:r w:rsidRPr="009055AF">
        <w:rPr>
          <w:rFonts w:ascii="Arial Narrow" w:hAnsi="Arial Narrow" w:cs="Arial"/>
          <w:szCs w:val="16"/>
          <w:lang w:val="es-MX"/>
        </w:rPr>
        <w:t>con los requisitos administrativos del 2 al 8 d</w:t>
      </w:r>
      <w:r>
        <w:rPr>
          <w:rFonts w:ascii="Arial Narrow" w:hAnsi="Arial Narrow" w:cs="Arial"/>
          <w:szCs w:val="16"/>
          <w:lang w:val="es-MX"/>
        </w:rPr>
        <w:t>e la convocatoria, por lo que la</w:t>
      </w:r>
      <w:r w:rsidRPr="009055AF">
        <w:rPr>
          <w:rFonts w:ascii="Arial Narrow" w:hAnsi="Arial Narrow" w:cs="Arial"/>
          <w:szCs w:val="16"/>
          <w:lang w:val="es-MX"/>
        </w:rPr>
        <w:t xml:space="preserve"> propuesta es </w:t>
      </w:r>
      <w:r w:rsidRPr="009055AF">
        <w:rPr>
          <w:rFonts w:ascii="Arial Narrow" w:hAnsi="Arial Narrow" w:cs="Arial"/>
          <w:b/>
          <w:szCs w:val="16"/>
          <w:lang w:val="es-MX"/>
        </w:rPr>
        <w:t>ACEPTADA</w:t>
      </w:r>
      <w:r>
        <w:rPr>
          <w:rFonts w:ascii="Arial Narrow" w:hAnsi="Arial Narrow" w:cs="Arial"/>
          <w:b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para la partida única.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2E5144" w:rsidRPr="00A60608" w:rsidRDefault="002E5144" w:rsidP="002E5144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continuación, se puntualiza que atendiendo a la naturaleza de las funciones concretas de la Dirección de Administración y Finanzas, siendo ésta una instancia administrativa en lo relativo al procedimiento de adquisición, razón por la cual la responsiva del análisis técnico sobre los servicios  r</w:t>
      </w:r>
      <w:r>
        <w:rPr>
          <w:rFonts w:ascii="Arial Narrow" w:hAnsi="Arial Narrow"/>
          <w:lang w:val="es-MX"/>
        </w:rPr>
        <w:t>equeridos, corresponden al</w:t>
      </w:r>
      <w:r w:rsidRPr="00267553">
        <w:rPr>
          <w:rFonts w:ascii="Arial Narrow" w:hAnsi="Arial Narrow"/>
          <w:lang w:val="es-MX"/>
        </w:rPr>
        <w:t xml:space="preserve"> área</w:t>
      </w:r>
      <w:r>
        <w:rPr>
          <w:rFonts w:ascii="Arial Narrow" w:hAnsi="Arial Narrow"/>
          <w:lang w:val="es-MX"/>
        </w:rPr>
        <w:t xml:space="preserve"> requirente, a cargo del Ing. Raúl Arnulfo Alfaro Rodríguez, Encargado del Departamento de Infraestructura Informática,</w:t>
      </w:r>
      <w:r w:rsidRPr="00A60608">
        <w:rPr>
          <w:rFonts w:ascii="Arial Narrow" w:hAnsi="Arial Narrow"/>
          <w:lang w:val="es-MX"/>
        </w:rPr>
        <w:t xml:space="preserve"> ya que como resultado de su labor y funciones públicas tiene pleno conocimiento de las características, particularidades y demás aspectos inherentes a la adquisición de </w:t>
      </w:r>
      <w:r>
        <w:rPr>
          <w:rFonts w:ascii="Arial Narrow" w:hAnsi="Arial Narrow"/>
          <w:lang w:val="es-MX"/>
        </w:rPr>
        <w:t>los bienes y s</w:t>
      </w:r>
      <w:r w:rsidRPr="00A60608">
        <w:rPr>
          <w:rFonts w:ascii="Arial Narrow" w:hAnsi="Arial Narrow"/>
          <w:lang w:val="es-MX"/>
        </w:rPr>
        <w:t>ervicios solicitados, por lo que la Dirección de Administración y Finanzas sólo determinará la procedencia de la adquisición respecto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5B43CE" w:rsidRPr="00A60608" w:rsidRDefault="005B43CE" w:rsidP="009055A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427ED1" w:rsidRPr="00A60608">
        <w:rPr>
          <w:rFonts w:ascii="Arial Narrow" w:hAnsi="Arial Narrow" w:cs="Arial"/>
          <w:lang w:val="es-MX"/>
        </w:rPr>
        <w:t xml:space="preserve">Adjudicar al proveedor </w:t>
      </w:r>
      <w:r w:rsidR="002E5144" w:rsidRPr="002E5144">
        <w:rPr>
          <w:rFonts w:ascii="Arial Narrow" w:hAnsi="Arial Narrow" w:cs="Arial"/>
          <w:b/>
          <w:bCs/>
          <w:szCs w:val="22"/>
        </w:rPr>
        <w:t>CONVERGENCIA DIGITAL E INFORMÁTICA, S.A. DE C.V.</w:t>
      </w:r>
      <w:r w:rsidR="009055AF">
        <w:rPr>
          <w:rFonts w:ascii="Arial Narrow" w:hAnsi="Arial Narrow" w:cs="Arial"/>
          <w:b/>
          <w:bCs/>
          <w:szCs w:val="22"/>
        </w:rPr>
        <w:t xml:space="preserve"> </w:t>
      </w:r>
      <w:r w:rsidR="00427ED1" w:rsidRPr="00A60608">
        <w:rPr>
          <w:rFonts w:ascii="Arial Narrow" w:hAnsi="Arial Narrow" w:cs="Arial"/>
          <w:lang w:val="es-MX"/>
        </w:rPr>
        <w:t xml:space="preserve">de acuerdo con el análisis y dictamen técnico-administrativo realizado, por haber cumplido con los requisitos solicitados de la convocatoria y con fundamento en el </w:t>
      </w:r>
      <w:r w:rsidR="00D37DF1" w:rsidRPr="00A60608">
        <w:rPr>
          <w:rFonts w:ascii="Arial Narrow" w:hAnsi="Arial Narrow" w:cs="Arial"/>
          <w:lang w:val="es-MX"/>
        </w:rPr>
        <w:t>artículo</w:t>
      </w:r>
      <w:r w:rsidR="00723BB3">
        <w:rPr>
          <w:rFonts w:ascii="Arial Narrow" w:hAnsi="Arial Narrow" w:cs="Arial"/>
          <w:lang w:val="es-MX"/>
        </w:rPr>
        <w:t xml:space="preserve"> 56 de la Ley, </w:t>
      </w:r>
      <w:r w:rsidR="00207369" w:rsidRPr="00A60608">
        <w:rPr>
          <w:rFonts w:ascii="Arial Narrow" w:hAnsi="Arial Narrow" w:cs="Arial"/>
          <w:lang w:val="es-MX"/>
        </w:rPr>
        <w:t>por haber presentado la proposición y haber obtenido resultado positivo con base en la evaluación binaria</w:t>
      </w:r>
      <w:r w:rsidR="006A0A14">
        <w:rPr>
          <w:rFonts w:ascii="Arial Narrow" w:hAnsi="Arial Narrow" w:cs="Arial"/>
          <w:lang w:val="es-MX"/>
        </w:rPr>
        <w:t xml:space="preserve"> ya que comparada su oferta recibida, ésta resultó menor que la de los 2 restantes participantes señalados en el acta de apertura por lo que se resuelve que esta oferta se ACEPTA</w:t>
      </w:r>
      <w:r w:rsidR="00207369" w:rsidRPr="00A60608">
        <w:rPr>
          <w:rFonts w:ascii="Arial Narrow" w:hAnsi="Arial Narrow" w:cs="Arial"/>
          <w:lang w:val="es-MX"/>
        </w:rPr>
        <w:t xml:space="preserve"> </w:t>
      </w:r>
      <w:r w:rsidR="00C876C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 xml:space="preserve">para la </w:t>
      </w:r>
      <w:r w:rsidR="00D37DF1" w:rsidRPr="00A60608">
        <w:rPr>
          <w:rFonts w:ascii="Arial Narrow" w:hAnsi="Arial Narrow" w:cs="Arial"/>
          <w:b/>
          <w:lang w:val="es-MX"/>
        </w:rPr>
        <w:t>partida única</w:t>
      </w:r>
      <w:r w:rsidR="00207369" w:rsidRPr="00A60608">
        <w:rPr>
          <w:rFonts w:ascii="Arial Narrow" w:hAnsi="Arial Narrow" w:cs="Arial"/>
          <w:b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por el monto de</w:t>
      </w:r>
      <w:r w:rsidR="001807D5">
        <w:rPr>
          <w:rFonts w:ascii="Arial Narrow" w:hAnsi="Arial Narrow" w:cs="Arial"/>
          <w:b/>
          <w:lang w:val="es-MX"/>
        </w:rPr>
        <w:t xml:space="preserve"> </w:t>
      </w:r>
      <w:r w:rsidR="001807D5" w:rsidRPr="001807D5">
        <w:rPr>
          <w:rFonts w:ascii="Arial Narrow" w:hAnsi="Arial Narrow" w:cs="Arial"/>
          <w:b/>
          <w:lang w:val="es-MX"/>
        </w:rPr>
        <w:t>$</w:t>
      </w:r>
      <w:r w:rsidR="002E5144" w:rsidRPr="002E5144">
        <w:rPr>
          <w:rFonts w:ascii="Arial Narrow" w:hAnsi="Arial Narrow" w:cs="Arial"/>
          <w:b/>
          <w:lang w:val="es-MX"/>
        </w:rPr>
        <w:t xml:space="preserve">1,280,672.00 </w:t>
      </w:r>
      <w:r w:rsidR="00207369" w:rsidRPr="00A60608">
        <w:rPr>
          <w:rFonts w:ascii="Arial Narrow" w:hAnsi="Arial Narrow" w:cs="Arial"/>
          <w:lang w:val="es-MX"/>
        </w:rPr>
        <w:t>(</w:t>
      </w:r>
      <w:r w:rsidR="002E5144">
        <w:rPr>
          <w:rFonts w:ascii="Arial Narrow" w:hAnsi="Arial Narrow" w:cs="Arial"/>
          <w:lang w:val="es-MX"/>
        </w:rPr>
        <w:t>Un millón doscientos ochenta mil seiscientos setenta y dos pesos 0</w:t>
      </w:r>
      <w:r w:rsidR="001807D5">
        <w:rPr>
          <w:rFonts w:ascii="Arial Narrow" w:hAnsi="Arial Narrow" w:cs="Arial"/>
          <w:lang w:val="es-MX"/>
        </w:rPr>
        <w:t>0</w:t>
      </w:r>
      <w:r w:rsidR="00207369" w:rsidRPr="00A60608">
        <w:rPr>
          <w:rFonts w:ascii="Arial Narrow" w:hAnsi="Arial Narrow" w:cs="Arial"/>
          <w:lang w:val="es-MX"/>
        </w:rPr>
        <w:t xml:space="preserve">/100 M.N.) </w:t>
      </w:r>
      <w:r w:rsidR="00A60608" w:rsidRPr="00A60608">
        <w:rPr>
          <w:rFonts w:ascii="Arial Narrow" w:hAnsi="Arial Narrow" w:cs="Arial"/>
          <w:lang w:val="es-MX"/>
        </w:rPr>
        <w:t xml:space="preserve">más </w:t>
      </w:r>
      <w:r w:rsidR="00207369" w:rsidRPr="00A60608">
        <w:rPr>
          <w:rFonts w:ascii="Arial Narrow" w:hAnsi="Arial Narrow" w:cs="Arial"/>
          <w:lang w:val="es-MX"/>
        </w:rPr>
        <w:t>I.V.A.</w:t>
      </w:r>
      <w:r w:rsidR="00C84EB3" w:rsidRPr="00A60608">
        <w:rPr>
          <w:rFonts w:ascii="Arial Narrow" w:hAnsi="Arial Narrow" w:cs="Arial"/>
          <w:lang w:val="es-MX"/>
        </w:rPr>
        <w:t xml:space="preserve"> </w:t>
      </w:r>
      <w:r w:rsidR="00207369" w:rsidRPr="00A60608">
        <w:rPr>
          <w:rFonts w:ascii="Arial Narrow" w:hAnsi="Arial Narrow" w:cs="Arial"/>
          <w:lang w:val="es-MX"/>
        </w:rPr>
        <w:t>conforme a los precios expresados en su propuesta.</w:t>
      </w: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9055AF" w:rsidRPr="00A60608" w:rsidRDefault="009055AF" w:rsidP="00E229AE">
      <w:pPr>
        <w:jc w:val="both"/>
        <w:rPr>
          <w:rFonts w:ascii="Arial Narrow" w:hAnsi="Arial Narrow" w:cs="Arial"/>
          <w:lang w:val="es-MX"/>
        </w:rPr>
      </w:pP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9055AF">
        <w:rPr>
          <w:rFonts w:ascii="Arial Narrow" w:hAnsi="Arial Narrow" w:cs="Arial"/>
          <w:lang w:val="es-MX"/>
        </w:rPr>
        <w:t>4</w:t>
      </w:r>
      <w:r w:rsidR="00D00790" w:rsidRPr="00A60608">
        <w:rPr>
          <w:rFonts w:ascii="Arial Narrow" w:hAnsi="Arial Narrow" w:cs="Arial"/>
          <w:lang w:val="es-MX"/>
        </w:rPr>
        <w:t>:</w:t>
      </w:r>
      <w:r w:rsidR="009C3759">
        <w:rPr>
          <w:rFonts w:ascii="Arial Narrow" w:hAnsi="Arial Narrow" w:cs="Arial"/>
          <w:lang w:val="es-MX"/>
        </w:rPr>
        <w:t>10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AB115A" w:rsidRDefault="00AB115A" w:rsidP="00E229AE">
      <w:pPr>
        <w:rPr>
          <w:rFonts w:ascii="Arial Narrow" w:hAnsi="Arial Narrow"/>
          <w:b/>
        </w:rPr>
      </w:pP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2E5144" w:rsidRPr="006E55B6" w:rsidRDefault="0098201D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Alejandro Sánchez Pérez</w:t>
      </w:r>
    </w:p>
    <w:p w:rsidR="002E5144" w:rsidRDefault="0098201D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Subdirect</w:t>
      </w:r>
      <w:r w:rsidR="002E5144">
        <w:rPr>
          <w:rFonts w:ascii="Arial" w:hAnsi="Arial" w:cs="Arial"/>
          <w:b/>
          <w:lang w:val="es-MX"/>
        </w:rPr>
        <w:t>or de Administración y Finanzas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JOSÉ RAYMUNDO CONTRERAS HERRERA</w:t>
      </w:r>
    </w:p>
    <w:p w:rsidR="002E5144" w:rsidRDefault="002E5144" w:rsidP="002E514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área de Jurídica</w:t>
      </w: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</w:p>
    <w:p w:rsidR="002E5144" w:rsidRDefault="002E5144" w:rsidP="002E514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2E5144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Pr="00CE2A04">
        <w:rPr>
          <w:rFonts w:ascii="Arial" w:hAnsi="Arial" w:cs="Arial"/>
          <w:lang w:val="es-MX"/>
        </w:rPr>
        <w:t>nterno de Control</w:t>
      </w:r>
    </w:p>
    <w:p w:rsidR="002E5144" w:rsidRDefault="002E5144" w:rsidP="002E5144">
      <w:pPr>
        <w:rPr>
          <w:rFonts w:ascii="Arial" w:hAnsi="Arial" w:cs="Arial"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VALDÉS CORDOVA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</w:p>
    <w:p w:rsidR="002E5144" w:rsidRDefault="002E5144" w:rsidP="002E514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RUTH DE LIRA MORA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Adquisiciones</w:t>
      </w:r>
    </w:p>
    <w:p w:rsidR="002E5144" w:rsidRPr="00677E25" w:rsidRDefault="002E5144" w:rsidP="002E5144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Pr="00677E25" w:rsidRDefault="009055AF" w:rsidP="009055AF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9055AF" w:rsidRDefault="009055AF" w:rsidP="009055AF">
      <w:pPr>
        <w:rPr>
          <w:rFonts w:ascii="Arial" w:hAnsi="Arial" w:cs="Arial"/>
          <w:lang w:val="es-MX"/>
        </w:rPr>
      </w:pPr>
    </w:p>
    <w:p w:rsidR="009055AF" w:rsidRPr="004908F2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</w:p>
    <w:p w:rsidR="009055AF" w:rsidRDefault="009055AF" w:rsidP="009055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RAÚL ARNULFO ALFARO RODRÍGUEZ</w:t>
      </w:r>
    </w:p>
    <w:p w:rsidR="009055AF" w:rsidRDefault="009055AF" w:rsidP="009055A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Departamento de Infraestructura Informática</w:t>
      </w:r>
    </w:p>
    <w:p w:rsidR="00B30B2A" w:rsidRDefault="00B30B2A" w:rsidP="00B30B2A">
      <w:pPr>
        <w:jc w:val="both"/>
        <w:rPr>
          <w:rFonts w:ascii="Arial Narrow" w:hAnsi="Arial Narrow" w:cs="Arial"/>
          <w:b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</w:p>
    <w:p w:rsidR="00B30B2A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ACTA DE FALLO</w:t>
      </w:r>
    </w:p>
    <w:p w:rsidR="00755266" w:rsidRPr="00A60608" w:rsidRDefault="00BA0076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31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 w:rsidR="009055AF">
        <w:rPr>
          <w:rFonts w:ascii="Arial Narrow" w:hAnsi="Arial Narrow" w:cs="Arial"/>
          <w:lang w:val="es-MX"/>
        </w:rPr>
        <w:t>MAYO</w:t>
      </w:r>
      <w:r w:rsidR="00B30B2A">
        <w:rPr>
          <w:rFonts w:ascii="Arial Narrow" w:hAnsi="Arial Narrow" w:cs="Arial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51" w:rsidRDefault="00546651">
      <w:r>
        <w:separator/>
      </w:r>
    </w:p>
  </w:endnote>
  <w:endnote w:type="continuationSeparator" w:id="0">
    <w:p w:rsidR="00546651" w:rsidRDefault="005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095805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095805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51" w:rsidRDefault="00546651">
      <w:r>
        <w:separator/>
      </w:r>
    </w:p>
  </w:footnote>
  <w:footnote w:type="continuationSeparator" w:id="0">
    <w:p w:rsidR="00546651" w:rsidRDefault="0054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063397" w:rsidRDefault="00AB2299" w:rsidP="001F12B9">
          <w:pPr>
            <w:jc w:val="right"/>
            <w:rPr>
              <w:rFonts w:ascii="Arial Narrow" w:hAnsi="Arial Narrow"/>
              <w:b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UTA-ICTPM-0</w:t>
          </w:r>
          <w:r w:rsidR="00BA0076">
            <w:rPr>
              <w:rFonts w:ascii="Arial Narrow" w:hAnsi="Arial Narrow"/>
              <w:b/>
              <w:sz w:val="16"/>
              <w:szCs w:val="16"/>
              <w:lang w:val="es-MX"/>
            </w:rPr>
            <w:t>5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-</w:t>
          </w:r>
          <w:r w:rsidR="00F85FFF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E348DB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</w:p>
        <w:p w:rsidR="001715FE" w:rsidRDefault="00BA0076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PARA EL SUMINISTRO, INSTALACIÓN Y CONFIGURACIÓN DE SERVIDORES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3CAB"/>
    <w:rsid w:val="00040591"/>
    <w:rsid w:val="00041A37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95805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04C"/>
    <w:rsid w:val="0010794F"/>
    <w:rsid w:val="00111A7D"/>
    <w:rsid w:val="0011289B"/>
    <w:rsid w:val="001161D1"/>
    <w:rsid w:val="0011696D"/>
    <w:rsid w:val="001270B3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201D"/>
    <w:rsid w:val="00204DD2"/>
    <w:rsid w:val="00207369"/>
    <w:rsid w:val="002103E1"/>
    <w:rsid w:val="00214847"/>
    <w:rsid w:val="00215689"/>
    <w:rsid w:val="002167D3"/>
    <w:rsid w:val="00226DAA"/>
    <w:rsid w:val="002315F7"/>
    <w:rsid w:val="00235220"/>
    <w:rsid w:val="00242381"/>
    <w:rsid w:val="00243C11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5144"/>
    <w:rsid w:val="002E752C"/>
    <w:rsid w:val="002F1650"/>
    <w:rsid w:val="002F6BD4"/>
    <w:rsid w:val="003026AD"/>
    <w:rsid w:val="00303644"/>
    <w:rsid w:val="003070AA"/>
    <w:rsid w:val="00311724"/>
    <w:rsid w:val="0033377C"/>
    <w:rsid w:val="00333BD2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69AC"/>
    <w:rsid w:val="005E7CBF"/>
    <w:rsid w:val="005F118F"/>
    <w:rsid w:val="00601576"/>
    <w:rsid w:val="0060451D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6F21"/>
    <w:rsid w:val="00637A93"/>
    <w:rsid w:val="00645E55"/>
    <w:rsid w:val="006578B7"/>
    <w:rsid w:val="00660D7F"/>
    <w:rsid w:val="006646C2"/>
    <w:rsid w:val="00665E13"/>
    <w:rsid w:val="00670957"/>
    <w:rsid w:val="00670A49"/>
    <w:rsid w:val="00671560"/>
    <w:rsid w:val="00676064"/>
    <w:rsid w:val="006820F9"/>
    <w:rsid w:val="006871AA"/>
    <w:rsid w:val="00690A60"/>
    <w:rsid w:val="00690E12"/>
    <w:rsid w:val="00695075"/>
    <w:rsid w:val="006A0A14"/>
    <w:rsid w:val="006A0DB8"/>
    <w:rsid w:val="006A305D"/>
    <w:rsid w:val="006A3D2C"/>
    <w:rsid w:val="006A4372"/>
    <w:rsid w:val="006A4C5B"/>
    <w:rsid w:val="006A5A9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40D3"/>
    <w:rsid w:val="00816450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055AF"/>
    <w:rsid w:val="00916075"/>
    <w:rsid w:val="009161F5"/>
    <w:rsid w:val="00920FC1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1D"/>
    <w:rsid w:val="0098205E"/>
    <w:rsid w:val="0098327D"/>
    <w:rsid w:val="00990D45"/>
    <w:rsid w:val="00991669"/>
    <w:rsid w:val="009926CA"/>
    <w:rsid w:val="00992EC8"/>
    <w:rsid w:val="00996AE2"/>
    <w:rsid w:val="009A1CBA"/>
    <w:rsid w:val="009B6858"/>
    <w:rsid w:val="009C3759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7679"/>
    <w:rsid w:val="00B60D7F"/>
    <w:rsid w:val="00B64D3A"/>
    <w:rsid w:val="00B660BC"/>
    <w:rsid w:val="00B71D0B"/>
    <w:rsid w:val="00B74BA3"/>
    <w:rsid w:val="00B773B8"/>
    <w:rsid w:val="00B8013D"/>
    <w:rsid w:val="00B85E06"/>
    <w:rsid w:val="00B92532"/>
    <w:rsid w:val="00B93575"/>
    <w:rsid w:val="00BA0076"/>
    <w:rsid w:val="00BA0985"/>
    <w:rsid w:val="00BA28B2"/>
    <w:rsid w:val="00BA2F7E"/>
    <w:rsid w:val="00BA626A"/>
    <w:rsid w:val="00BA641C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0EA7"/>
    <w:rsid w:val="00C23DD0"/>
    <w:rsid w:val="00C248CF"/>
    <w:rsid w:val="00C31665"/>
    <w:rsid w:val="00C32A96"/>
    <w:rsid w:val="00C366CA"/>
    <w:rsid w:val="00C41C3B"/>
    <w:rsid w:val="00C41D55"/>
    <w:rsid w:val="00C427DA"/>
    <w:rsid w:val="00C42861"/>
    <w:rsid w:val="00C5476B"/>
    <w:rsid w:val="00C5638A"/>
    <w:rsid w:val="00C61826"/>
    <w:rsid w:val="00C623DF"/>
    <w:rsid w:val="00C70579"/>
    <w:rsid w:val="00C72582"/>
    <w:rsid w:val="00C751F7"/>
    <w:rsid w:val="00C82895"/>
    <w:rsid w:val="00C8359F"/>
    <w:rsid w:val="00C84EB3"/>
    <w:rsid w:val="00C876C8"/>
    <w:rsid w:val="00C91FAB"/>
    <w:rsid w:val="00C936EE"/>
    <w:rsid w:val="00C94221"/>
    <w:rsid w:val="00CA650D"/>
    <w:rsid w:val="00CA7380"/>
    <w:rsid w:val="00CA7CDF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31B6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4D79"/>
    <w:rsid w:val="00ED532E"/>
    <w:rsid w:val="00EE2978"/>
    <w:rsid w:val="00EE67AF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Ttulo">
    <w:name w:val="Title"/>
    <w:basedOn w:val="Normal"/>
    <w:link w:val="Ttul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9182-D6E2-4D9D-8DAA-CB90B55A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870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Nancy Medina Martinez</cp:lastModifiedBy>
  <cp:revision>72</cp:revision>
  <cp:lastPrinted>2023-05-31T20:16:00Z</cp:lastPrinted>
  <dcterms:created xsi:type="dcterms:W3CDTF">2021-02-16T15:29:00Z</dcterms:created>
  <dcterms:modified xsi:type="dcterms:W3CDTF">2023-05-31T20:17:00Z</dcterms:modified>
</cp:coreProperties>
</file>