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A7258B" w:rsidRDefault="008F2996" w:rsidP="008034B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LA 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8034B7">
        <w:rPr>
          <w:rFonts w:ascii="Arial" w:hAnsi="Arial" w:cs="Arial"/>
          <w:b/>
          <w:lang w:val="es-MX"/>
        </w:rPr>
        <w:t>7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BA7BD9">
        <w:rPr>
          <w:rFonts w:ascii="Arial" w:hAnsi="Arial" w:cs="Arial"/>
          <w:b/>
          <w:lang w:val="es-MX"/>
        </w:rPr>
        <w:t>3</w:t>
      </w:r>
      <w:r w:rsidR="008034B7">
        <w:rPr>
          <w:rFonts w:ascii="Arial" w:hAnsi="Arial" w:cs="Arial"/>
          <w:b/>
          <w:lang w:val="es-MX"/>
        </w:rPr>
        <w:t xml:space="preserve"> </w:t>
      </w:r>
      <w:r w:rsidR="008034B7" w:rsidRPr="008034B7">
        <w:rPr>
          <w:rFonts w:ascii="Arial" w:hAnsi="Arial" w:cs="Arial"/>
          <w:b/>
          <w:lang w:val="es-MX"/>
        </w:rPr>
        <w:t xml:space="preserve">PARA LA ADQUISICION DE MATERIALES, UTILES Y EQUIPO MENORES DE </w:t>
      </w:r>
      <w:r w:rsidR="00DF68FC">
        <w:rPr>
          <w:rFonts w:ascii="Arial" w:hAnsi="Arial" w:cs="Arial"/>
          <w:b/>
          <w:lang w:val="es-MX"/>
        </w:rPr>
        <w:t>OFICINA (INSUMOS DE PAPELERÌA)</w:t>
      </w:r>
    </w:p>
    <w:p w:rsidR="008034B7" w:rsidRPr="008034B7" w:rsidRDefault="008034B7" w:rsidP="008034B7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8034B7">
        <w:rPr>
          <w:rFonts w:ascii="Arial" w:hAnsi="Arial" w:cs="Arial"/>
          <w:lang w:val="es-MX"/>
        </w:rPr>
        <w:t>1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DF68FC">
        <w:rPr>
          <w:rFonts w:ascii="Arial" w:hAnsi="Arial" w:cs="Arial"/>
          <w:lang w:val="es-MX"/>
        </w:rPr>
        <w:t>04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DF68FC">
        <w:rPr>
          <w:rFonts w:ascii="Arial" w:hAnsi="Arial" w:cs="Arial"/>
          <w:lang w:val="es-MX"/>
        </w:rPr>
        <w:t>Septiembre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BA7BD9">
        <w:rPr>
          <w:rFonts w:ascii="Arial" w:hAnsi="Arial" w:cs="Arial"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DF68FC">
        <w:rPr>
          <w:rFonts w:ascii="Arial" w:hAnsi="Arial" w:cs="Arial"/>
          <w:b/>
          <w:lang w:val="es-MX"/>
        </w:rPr>
        <w:t>9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Presentación de preguntas sobre las respuestas a las preguntas ya contestadas.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Acuerdos de la junta.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DF68FC">
              <w:rPr>
                <w:rFonts w:ascii="Arial" w:hAnsi="Arial" w:cs="Arial"/>
                <w:sz w:val="18"/>
                <w:lang w:val="es-MX"/>
              </w:rPr>
              <w:t>VICTOR ISRAEL HERNANDEZ VAZQUEZ</w:t>
            </w:r>
          </w:p>
          <w:p w:rsidR="00941E33" w:rsidRPr="006152DA" w:rsidRDefault="008034B7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SR. RUBEN LUGO GOMEZ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CD3DF3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C.P. ROCIO DE SANTOS VELASCO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8034B7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AMANDA MIROSLAVA HERRERA DE LUNA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E5643" w:rsidRPr="00FD347F" w:rsidTr="000B4053">
        <w:tc>
          <w:tcPr>
            <w:tcW w:w="305" w:type="pct"/>
          </w:tcPr>
          <w:p w:rsidR="00EE5643" w:rsidRPr="002647AC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EE5643" w:rsidRPr="002647AC" w:rsidRDefault="00DF68FC" w:rsidP="00BA7BD9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COMERCIALIZADORA DE ALBA </w:t>
            </w:r>
          </w:p>
        </w:tc>
        <w:tc>
          <w:tcPr>
            <w:tcW w:w="1571" w:type="pct"/>
          </w:tcPr>
          <w:p w:rsidR="00EE5643" w:rsidRPr="002647AC" w:rsidRDefault="00E81E0E" w:rsidP="001E3E5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PRESENTE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E837A4" w:rsidRPr="00FD347F" w:rsidTr="002F59DD">
        <w:trPr>
          <w:trHeight w:val="582"/>
        </w:trPr>
        <w:tc>
          <w:tcPr>
            <w:tcW w:w="305" w:type="pct"/>
          </w:tcPr>
          <w:p w:rsidR="00E837A4" w:rsidRPr="002647AC" w:rsidRDefault="00E837A4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E837A4" w:rsidRPr="002647AC" w:rsidRDefault="00DF68FC" w:rsidP="008034B7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COMERCIALIZADORA Y ABARROTES MORENO</w:t>
            </w:r>
          </w:p>
        </w:tc>
        <w:tc>
          <w:tcPr>
            <w:tcW w:w="1571" w:type="pct"/>
          </w:tcPr>
          <w:p w:rsidR="00E837A4" w:rsidRPr="002647AC" w:rsidRDefault="008034B7" w:rsidP="00BA7B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1E0E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</w:t>
            </w:r>
            <w:r w:rsidR="00302CF5"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FE1ED6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</w:t>
            </w:r>
            <w:r w:rsidR="00C75066" w:rsidRPr="002647AC">
              <w:rPr>
                <w:rFonts w:ascii="Arial" w:hAnsi="Arial" w:cs="Arial"/>
                <w:sz w:val="20"/>
                <w:szCs w:val="20"/>
                <w:lang w:val="es-MX"/>
              </w:rPr>
              <w:t>IÓ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PREGUNTAS</w:t>
            </w:r>
          </w:p>
        </w:tc>
      </w:tr>
      <w:tr w:rsidR="00302CF5" w:rsidRPr="00FD347F" w:rsidTr="000B4053">
        <w:tc>
          <w:tcPr>
            <w:tcW w:w="305" w:type="pct"/>
          </w:tcPr>
          <w:p w:rsidR="00302CF5" w:rsidRPr="002647AC" w:rsidRDefault="00BA7BD9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302CF5" w:rsidRPr="00407699" w:rsidRDefault="00DF68FC" w:rsidP="006B2FB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COMERCIALIZADORA LA SUPREMA</w:t>
            </w:r>
          </w:p>
        </w:tc>
        <w:tc>
          <w:tcPr>
            <w:tcW w:w="1571" w:type="pct"/>
          </w:tcPr>
          <w:p w:rsidR="00302CF5" w:rsidRPr="002647AC" w:rsidRDefault="00BA7BD9" w:rsidP="00820D0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820D04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</w:t>
      </w:r>
      <w:proofErr w:type="spellStart"/>
      <w:r w:rsidR="006B2FBA">
        <w:rPr>
          <w:rFonts w:ascii="Arial" w:hAnsi="Arial" w:cs="Arial"/>
          <w:lang w:val="es-MX"/>
        </w:rPr>
        <w:t>Nashyeli</w:t>
      </w:r>
      <w:proofErr w:type="spellEnd"/>
      <w:r w:rsidR="006B2FBA">
        <w:rPr>
          <w:rFonts w:ascii="Arial" w:hAnsi="Arial" w:cs="Arial"/>
          <w:lang w:val="es-MX"/>
        </w:rPr>
        <w:t xml:space="preserve"> Martínez </w:t>
      </w:r>
      <w:proofErr w:type="spellStart"/>
      <w:r w:rsidR="006B2FBA">
        <w:rPr>
          <w:rFonts w:ascii="Arial" w:hAnsi="Arial" w:cs="Arial"/>
          <w:lang w:val="es-MX"/>
        </w:rPr>
        <w:t>Luévano</w:t>
      </w:r>
      <w:proofErr w:type="spellEnd"/>
      <w:r w:rsidR="006B2FBA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3D2AEC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del orden de actos </w:t>
      </w:r>
      <w:r>
        <w:rPr>
          <w:rFonts w:ascii="Arial" w:hAnsi="Arial" w:cs="Arial"/>
          <w:b/>
          <w:lang w:val="es-MX"/>
        </w:rPr>
        <w:t xml:space="preserve">NO </w:t>
      </w:r>
      <w:r w:rsidRPr="004908F2">
        <w:rPr>
          <w:rFonts w:ascii="Arial" w:hAnsi="Arial" w:cs="Arial"/>
          <w:lang w:val="es-MX"/>
        </w:rPr>
        <w:t xml:space="preserve">se recibieron preguntas por parte de los proveedores y </w:t>
      </w:r>
      <w:r>
        <w:rPr>
          <w:rFonts w:ascii="Arial" w:hAnsi="Arial" w:cs="Arial"/>
          <w:lang w:val="es-MX"/>
        </w:rPr>
        <w:t xml:space="preserve">por lo tanto para la atención del punto número </w:t>
      </w:r>
      <w:r>
        <w:rPr>
          <w:rFonts w:ascii="Arial" w:hAnsi="Arial" w:cs="Arial"/>
          <w:b/>
          <w:lang w:val="es-MX"/>
        </w:rPr>
        <w:t>cinco</w:t>
      </w:r>
      <w:r>
        <w:rPr>
          <w:rFonts w:ascii="Arial" w:hAnsi="Arial" w:cs="Arial"/>
          <w:lang w:val="es-MX"/>
        </w:rPr>
        <w:t xml:space="preserve"> no hay preguntas que responder.</w:t>
      </w: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DF68FC">
        <w:rPr>
          <w:rFonts w:ascii="Arial" w:hAnsi="Arial" w:cs="Arial"/>
          <w:b/>
          <w:lang w:val="es-MX"/>
        </w:rPr>
        <w:t>07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DF68FC">
        <w:rPr>
          <w:rFonts w:ascii="Arial" w:hAnsi="Arial" w:cs="Arial"/>
          <w:b/>
          <w:lang w:val="es-MX"/>
        </w:rPr>
        <w:t>Septiembre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1E3E55">
        <w:rPr>
          <w:rFonts w:ascii="Arial" w:hAnsi="Arial" w:cs="Arial"/>
          <w:b/>
          <w:lang w:val="es-MX"/>
        </w:rPr>
        <w:t>0</w:t>
      </w:r>
      <w:r w:rsidRPr="004908F2">
        <w:rPr>
          <w:rFonts w:ascii="Arial" w:hAnsi="Arial" w:cs="Arial"/>
          <w:b/>
          <w:lang w:val="es-MX"/>
        </w:rPr>
        <w:t xml:space="preserve">:00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lastRenderedPageBreak/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8034B7">
        <w:rPr>
          <w:rFonts w:ascii="Arial" w:hAnsi="Arial" w:cs="Arial"/>
          <w:highlight w:val="yellow"/>
          <w:lang w:val="es-MX"/>
        </w:rPr>
        <w:t>1</w:t>
      </w:r>
      <w:r w:rsidR="008034B7" w:rsidRPr="008034B7">
        <w:rPr>
          <w:rFonts w:ascii="Arial" w:hAnsi="Arial" w:cs="Arial"/>
          <w:highlight w:val="yellow"/>
          <w:lang w:val="es-MX"/>
        </w:rPr>
        <w:t>1</w:t>
      </w:r>
      <w:r w:rsidRPr="008034B7">
        <w:rPr>
          <w:rFonts w:ascii="Arial" w:hAnsi="Arial" w:cs="Arial"/>
          <w:highlight w:val="yellow"/>
          <w:lang w:val="es-MX"/>
        </w:rPr>
        <w:t>:</w:t>
      </w:r>
      <w:r w:rsidR="00A2263C" w:rsidRPr="008034B7">
        <w:rPr>
          <w:rFonts w:ascii="Arial" w:hAnsi="Arial" w:cs="Arial"/>
          <w:highlight w:val="yellow"/>
          <w:lang w:val="es-MX"/>
        </w:rPr>
        <w:t>06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DF68FC" w:rsidRDefault="00DF68FC" w:rsidP="00F120B8">
      <w:pPr>
        <w:rPr>
          <w:rFonts w:ascii="Arial" w:hAnsi="Arial" w:cs="Arial"/>
          <w:b/>
          <w:lang w:val="es-MX"/>
        </w:rPr>
      </w:pPr>
    </w:p>
    <w:p w:rsidR="00DF68FC" w:rsidRDefault="00DF68FC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DF68FC" w:rsidRDefault="00DF68FC" w:rsidP="007C010B">
      <w:pPr>
        <w:jc w:val="both"/>
        <w:rPr>
          <w:rFonts w:ascii="Arial" w:hAnsi="Arial" w:cs="Arial"/>
          <w:b/>
          <w:lang w:val="es-MX"/>
        </w:rPr>
      </w:pPr>
    </w:p>
    <w:p w:rsidR="00DF68FC" w:rsidRDefault="00DF68FC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DF68FC">
        <w:rPr>
          <w:rFonts w:ascii="Arial" w:hAnsi="Arial" w:cs="Arial"/>
          <w:b/>
          <w:lang w:val="es-MX"/>
        </w:rPr>
        <w:t>VICTOR ISRAEL HERNANDEZ VAZQUEZ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DF68FC" w:rsidRDefault="00DF68FC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DF68FC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Titular del </w:t>
      </w:r>
      <w:r w:rsidR="006E7138"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Default="003B3F89" w:rsidP="007C010B">
      <w:pPr>
        <w:rPr>
          <w:rFonts w:ascii="Arial" w:hAnsi="Arial" w:cs="Arial"/>
          <w:lang w:val="es-MX"/>
        </w:rPr>
      </w:pPr>
    </w:p>
    <w:p w:rsidR="00DF68FC" w:rsidRPr="00CE2A04" w:rsidRDefault="00DF68FC" w:rsidP="007C010B">
      <w:pPr>
        <w:rPr>
          <w:rFonts w:ascii="Arial" w:hAnsi="Arial" w:cs="Arial"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034B7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de Ed. Amanda Miroslava Herrera de Luna</w:t>
      </w:r>
    </w:p>
    <w:p w:rsidR="001E3E55" w:rsidRPr="00677E25" w:rsidRDefault="001E3E55" w:rsidP="001E3E55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DF68FC" w:rsidRDefault="00DF68FC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8034B7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SR. RUBEN LUGO GOMEZ</w:t>
      </w:r>
    </w:p>
    <w:p w:rsidR="007C010B" w:rsidRDefault="008034B7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Encargado de Almacén </w:t>
      </w: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DF68FC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04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SEPTIEMBRE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120B8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 w:rsidR="00F120B8">
        <w:rPr>
          <w:rFonts w:ascii="Arial" w:hAnsi="Arial" w:cs="Arial"/>
          <w:sz w:val="20"/>
          <w:szCs w:val="20"/>
          <w:lang w:val="es-MX"/>
        </w:rPr>
        <w:t xml:space="preserve">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C1" w:rsidRDefault="00F807C1" w:rsidP="00DA5C3A">
      <w:r>
        <w:separator/>
      </w:r>
    </w:p>
  </w:endnote>
  <w:endnote w:type="continuationSeparator" w:id="0">
    <w:p w:rsidR="00F807C1" w:rsidRDefault="00F807C1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F68FC" w:rsidRPr="00DF68FC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DF68FC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F2535A" w:rsidRPr="004C33D6" w:rsidTr="00553E57">
      <w:tc>
        <w:tcPr>
          <w:tcW w:w="7338" w:type="dxa"/>
        </w:tcPr>
        <w:p w:rsidR="00F2535A" w:rsidRPr="004C33D6" w:rsidRDefault="00F2535A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F2535A" w:rsidRPr="004C33D6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 w:rsidR="00F1091D"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F2535A" w:rsidRDefault="00F253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F68FC" w:rsidRPr="00DF68FC">
      <w:rPr>
        <w:noProof/>
        <w:color w:val="5B9BD5" w:themeColor="accent1"/>
        <w:lang w:val="es-ES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DF68FC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C1" w:rsidRDefault="00F807C1" w:rsidP="00DA5C3A">
      <w:r>
        <w:separator/>
      </w:r>
    </w:p>
  </w:footnote>
  <w:footnote w:type="continuationSeparator" w:id="0">
    <w:p w:rsidR="00F807C1" w:rsidRDefault="00F807C1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FB190F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F2535A" w:rsidRPr="00A7258B" w:rsidTr="009858A8">
      <w:tc>
        <w:tcPr>
          <w:tcW w:w="3119" w:type="dxa"/>
        </w:tcPr>
        <w:p w:rsidR="00F2535A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</w:t>
          </w:r>
          <w:r w:rsidR="00DF68FC">
            <w:rPr>
              <w:rFonts w:ascii="Arial Narrow" w:hAnsi="Arial Narrow"/>
              <w:sz w:val="16"/>
              <w:szCs w:val="16"/>
              <w:lang w:val="es-MX"/>
            </w:rPr>
            <w:t>9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8034B7" w:rsidP="00DF68FC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LA ADQUISISCIÒN DE MATERIALES ÙTILES Y EQUIPO MENORES DE </w:t>
          </w:r>
          <w:r w:rsidR="00DF68FC">
            <w:rPr>
              <w:rFonts w:ascii="Arial Narrow" w:hAnsi="Arial Narrow" w:cs="Arial"/>
              <w:sz w:val="16"/>
              <w:szCs w:val="16"/>
            </w:rPr>
            <w:t>OFICINA (INSUMOS DE PAPELERÌA)</w:t>
          </w:r>
        </w:p>
      </w:tc>
    </w:tr>
  </w:tbl>
  <w:p w:rsidR="00F2535A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4C49BC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Encabezado"/>
    </w:pPr>
    <w:r w:rsidRPr="00FC6025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407699" w:rsidRPr="00495DAD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UTA-ICTPM-05-23</w:t>
          </w:r>
        </w:p>
        <w:p w:rsidR="00EF4398" w:rsidRDefault="00EF4398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>PARA LA ADQUISISCIÒN DE MATERIALES ÙTILES Y EQUIPO MENORES DE TECNOLOGÌA Y COMUNICACIONES (TONER Y CONSUMIBLES)</w:t>
          </w:r>
        </w:p>
        <w:p w:rsidR="00F2535A" w:rsidRPr="009A23C1" w:rsidRDefault="00F2535A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6CA0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4B7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6848"/>
    <w:rsid w:val="0087085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A09"/>
    <w:rsid w:val="008F2996"/>
    <w:rsid w:val="008F5499"/>
    <w:rsid w:val="009049CB"/>
    <w:rsid w:val="00905F45"/>
    <w:rsid w:val="009114D2"/>
    <w:rsid w:val="009129A5"/>
    <w:rsid w:val="00913054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31A5"/>
    <w:rsid w:val="00D34CA1"/>
    <w:rsid w:val="00D34E2A"/>
    <w:rsid w:val="00D3769C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DF68FC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EF4398"/>
    <w:rsid w:val="00F1091D"/>
    <w:rsid w:val="00F120B8"/>
    <w:rsid w:val="00F200C6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07C1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E857-6E7C-44B2-8225-9B5AF1AA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Amanda Miroslava Herrera de Luna</cp:lastModifiedBy>
  <cp:revision>24</cp:revision>
  <cp:lastPrinted>2023-05-26T19:11:00Z</cp:lastPrinted>
  <dcterms:created xsi:type="dcterms:W3CDTF">2023-02-23T14:28:00Z</dcterms:created>
  <dcterms:modified xsi:type="dcterms:W3CDTF">2023-09-04T16:14:00Z</dcterms:modified>
</cp:coreProperties>
</file>