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1715FE" w:rsidRDefault="000A114B" w:rsidP="00F111DC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F111DC">
        <w:rPr>
          <w:rFonts w:ascii="Arial Narrow" w:hAnsi="Arial Narrow"/>
          <w:b/>
          <w:lang w:val="es-MX"/>
        </w:rPr>
        <w:t>UTA-ICTPM-10</w:t>
      </w:r>
      <w:r w:rsidR="00F111DC" w:rsidRPr="008028F2">
        <w:rPr>
          <w:rFonts w:ascii="Arial Narrow" w:hAnsi="Arial Narrow"/>
          <w:b/>
          <w:lang w:val="es-MX"/>
        </w:rPr>
        <w:t>-23</w:t>
      </w:r>
      <w:r w:rsidR="00F111DC">
        <w:rPr>
          <w:rFonts w:ascii="Arial Narrow" w:hAnsi="Arial Narrow"/>
          <w:b/>
          <w:lang w:val="es-MX"/>
        </w:rPr>
        <w:t xml:space="preserve"> PARA LA CONTRATACIÓN DE </w:t>
      </w:r>
      <w:r w:rsidR="00F111DC" w:rsidRPr="00CC78FF">
        <w:rPr>
          <w:rFonts w:ascii="Arial Narrow" w:hAnsi="Arial Narrow"/>
          <w:b/>
          <w:lang w:val="es-MX"/>
        </w:rPr>
        <w:t>SERVICIOS DE DISEÑO, ARQUITECTURA, DE INGENIERÍA Y ACTIVIDADES RELACIONADAS</w:t>
      </w:r>
      <w:r w:rsidR="00F111DC">
        <w:rPr>
          <w:rFonts w:ascii="Arial Narrow" w:hAnsi="Arial Narrow"/>
          <w:b/>
          <w:lang w:val="es-MX"/>
        </w:rPr>
        <w:t xml:space="preserve"> (SERVICIO DE PERITAJE ESTRUCTURAL, ELECTRICO Y LINEAS DE GAS)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8204C" w:rsidRDefault="00E942EC" w:rsidP="00A8204C">
      <w:pPr>
        <w:jc w:val="both"/>
        <w:rPr>
          <w:rFonts w:ascii="Arial Narrow" w:hAnsi="Arial Narrow"/>
          <w:sz w:val="16"/>
          <w:szCs w:val="16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B74291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F111DC">
        <w:rPr>
          <w:rFonts w:ascii="Arial Narrow" w:hAnsi="Arial Narrow" w:cs="Arial"/>
          <w:lang w:val="es-MX"/>
        </w:rPr>
        <w:t>20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B74291">
        <w:rPr>
          <w:rFonts w:ascii="Arial Narrow" w:hAnsi="Arial Narrow" w:cs="Arial"/>
          <w:lang w:val="es-MX"/>
        </w:rPr>
        <w:t>septiembre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="00F111DC" w:rsidRPr="00F111DC">
        <w:rPr>
          <w:rFonts w:ascii="Arial Narrow" w:hAnsi="Arial Narrow"/>
          <w:b/>
          <w:lang w:val="es-MX"/>
        </w:rPr>
        <w:t xml:space="preserve"> </w:t>
      </w:r>
      <w:r w:rsidR="00F111DC">
        <w:rPr>
          <w:rFonts w:ascii="Arial Narrow" w:hAnsi="Arial Narrow"/>
          <w:b/>
          <w:lang w:val="es-MX"/>
        </w:rPr>
        <w:t>UTA-ICTPM-10</w:t>
      </w:r>
      <w:r w:rsidR="00F111DC" w:rsidRPr="008028F2">
        <w:rPr>
          <w:rFonts w:ascii="Arial Narrow" w:hAnsi="Arial Narrow"/>
          <w:b/>
          <w:lang w:val="es-MX"/>
        </w:rPr>
        <w:t>-23</w:t>
      </w:r>
      <w:r w:rsidR="00F111DC">
        <w:rPr>
          <w:rFonts w:ascii="Arial Narrow" w:hAnsi="Arial Narrow"/>
          <w:b/>
          <w:lang w:val="es-MX"/>
        </w:rPr>
        <w:t xml:space="preserve"> PARA LA CONTRATACIÓN DE </w:t>
      </w:r>
      <w:r w:rsidR="00F111DC" w:rsidRPr="00CC78FF">
        <w:rPr>
          <w:rFonts w:ascii="Arial Narrow" w:hAnsi="Arial Narrow"/>
          <w:b/>
          <w:lang w:val="es-MX"/>
        </w:rPr>
        <w:t>SERVICIOS DE DISEÑO, ARQUITECTURA, DE INGENIERÍA Y ACTIVIDADES RELACIONADAS</w:t>
      </w:r>
      <w:r w:rsidR="00F111DC">
        <w:rPr>
          <w:rFonts w:ascii="Arial Narrow" w:hAnsi="Arial Narrow"/>
          <w:b/>
          <w:lang w:val="es-MX"/>
        </w:rPr>
        <w:t xml:space="preserve"> (SERVICIO DE PERITAJE ESTRUCT</w:t>
      </w:r>
      <w:r w:rsidR="00F111DC">
        <w:rPr>
          <w:rFonts w:ascii="Arial Narrow" w:hAnsi="Arial Narrow"/>
          <w:b/>
          <w:lang w:val="es-MX"/>
        </w:rPr>
        <w:t>URAL, ELECTRICO Y LINEAS DE GAS</w:t>
      </w:r>
      <w:r w:rsidR="00A8204C">
        <w:rPr>
          <w:rFonts w:ascii="Arial Narrow" w:hAnsi="Arial Narrow" w:cs="Arial"/>
          <w:b/>
          <w:lang w:val="es-MX"/>
        </w:rPr>
        <w:t>)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98201D">
        <w:rPr>
          <w:rFonts w:ascii="Arial Narrow" w:hAnsi="Arial Narrow" w:cs="Arial"/>
          <w:lang w:val="es-MX"/>
        </w:rPr>
        <w:t xml:space="preserve"> apartado</w:t>
      </w:r>
      <w:r w:rsidR="004246B9">
        <w:rPr>
          <w:rFonts w:ascii="Arial Narrow" w:hAnsi="Arial Narrow" w:cs="Arial"/>
          <w:lang w:val="es-MX"/>
        </w:rPr>
        <w:t xml:space="preserve">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</w:t>
      </w:r>
      <w:r w:rsidR="00BA0076">
        <w:rPr>
          <w:rFonts w:ascii="Arial Narrow" w:hAnsi="Arial Narrow" w:cs="Arial"/>
          <w:lang w:val="es-MX"/>
        </w:rPr>
        <w:t xml:space="preserve">de Adquisiciones, Arrendamientos y Servicios del Estado de Aguascalientes, en lo sucesivo la Ley </w:t>
      </w:r>
      <w:r w:rsidRPr="00AB115A">
        <w:rPr>
          <w:rFonts w:ascii="Arial Narrow" w:hAnsi="Arial Narrow" w:cs="Arial"/>
          <w:lang w:val="es-MX"/>
        </w:rPr>
        <w:t xml:space="preserve">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</w:t>
      </w:r>
      <w:r w:rsidR="00F111DC">
        <w:rPr>
          <w:rFonts w:ascii="Arial Narrow" w:hAnsi="Arial Narrow" w:cs="Arial"/>
          <w:b/>
          <w:lang w:val="es-MX"/>
        </w:rPr>
        <w:t>10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66352F">
        <w:rPr>
          <w:rFonts w:ascii="Arial Narrow" w:hAnsi="Arial Narrow" w:cs="Arial"/>
          <w:lang w:val="es-MX"/>
        </w:rPr>
        <w:t xml:space="preserve"> requirente, a cargo del </w:t>
      </w:r>
      <w:r w:rsidR="00F111DC">
        <w:rPr>
          <w:rFonts w:ascii="Arial Narrow" w:hAnsi="Arial Narrow" w:cs="Arial"/>
          <w:lang w:val="es-MX"/>
        </w:rPr>
        <w:t>Ing. Juan Carlos Jiménez Velázquez</w:t>
      </w:r>
      <w:r w:rsidR="00E348DB">
        <w:rPr>
          <w:rFonts w:ascii="Arial Narrow" w:hAnsi="Arial Narrow" w:cs="Arial"/>
          <w:lang w:val="es-MX"/>
        </w:rPr>
        <w:t>,</w:t>
      </w:r>
      <w:r w:rsidR="0066352F">
        <w:rPr>
          <w:rFonts w:ascii="Arial Narrow" w:hAnsi="Arial Narrow" w:cs="Arial"/>
          <w:lang w:val="es-MX"/>
        </w:rPr>
        <w:t xml:space="preserve"> Jefe de Departamento de </w:t>
      </w:r>
      <w:r w:rsidR="00F111DC">
        <w:rPr>
          <w:rFonts w:ascii="Arial Narrow" w:hAnsi="Arial Narrow" w:cs="Arial"/>
          <w:lang w:val="es-MX"/>
        </w:rPr>
        <w:t xml:space="preserve">Mantenimiento e Instalaciones </w:t>
      </w:r>
      <w:r w:rsidR="00E348DB">
        <w:rPr>
          <w:rFonts w:ascii="Arial Narrow" w:hAnsi="Arial Narrow" w:cs="Arial"/>
          <w:lang w:val="es-MX"/>
        </w:rPr>
        <w:t>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A0076" w:rsidRDefault="00BA0076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F111DC" w:rsidRPr="00F111DC" w:rsidRDefault="00F111DC" w:rsidP="00E229AE">
      <w:pPr>
        <w:jc w:val="both"/>
        <w:rPr>
          <w:rFonts w:ascii="Arial Narrow" w:hAnsi="Arial Narrow" w:cs="Arial"/>
          <w:b/>
          <w:sz w:val="28"/>
          <w:szCs w:val="20"/>
          <w:lang w:val="es-MX"/>
        </w:rPr>
      </w:pPr>
      <w:r w:rsidRPr="00F111DC">
        <w:rPr>
          <w:rFonts w:ascii="Arial Narrow" w:hAnsi="Arial Narrow" w:cs="Arial"/>
          <w:b/>
          <w:sz w:val="28"/>
          <w:szCs w:val="20"/>
          <w:lang w:val="es-MX"/>
        </w:rPr>
        <w:t xml:space="preserve">CONSTRUCTORA E INMOBILIARIA GAEN S.A. DE C.V. </w:t>
      </w:r>
    </w:p>
    <w:p w:rsidR="00B04F09" w:rsidRPr="00C876C8" w:rsidRDefault="00675D4A" w:rsidP="00E229AE">
      <w:pPr>
        <w:jc w:val="both"/>
        <w:rPr>
          <w:rFonts w:ascii="Arial Narrow" w:hAnsi="Arial Narrow" w:cs="Arial"/>
          <w:sz w:val="22"/>
          <w:lang w:val="es-MX"/>
        </w:rPr>
      </w:pPr>
      <w:r>
        <w:rPr>
          <w:rFonts w:ascii="Arial Narrow" w:hAnsi="Arial Narrow" w:cs="Arial"/>
          <w:b/>
          <w:szCs w:val="16"/>
          <w:lang w:val="es-MX"/>
        </w:rPr>
        <w:t xml:space="preserve">NO </w:t>
      </w:r>
      <w:r w:rsidR="009055AF"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="009055AF"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 w:rsidR="0020201D">
        <w:rPr>
          <w:rFonts w:ascii="Arial Narrow" w:hAnsi="Arial Narrow" w:cs="Arial"/>
          <w:szCs w:val="16"/>
          <w:lang w:val="es-MX"/>
        </w:rPr>
        <w:t>e la convocatoria, por lo que la</w:t>
      </w:r>
      <w:r w:rsidR="009055AF"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="009055AF" w:rsidRPr="009055AF">
        <w:rPr>
          <w:rFonts w:ascii="Arial Narrow" w:hAnsi="Arial Narrow" w:cs="Arial"/>
          <w:b/>
          <w:szCs w:val="16"/>
          <w:lang w:val="es-MX"/>
        </w:rPr>
        <w:t>ACEPTADA</w:t>
      </w:r>
      <w:r w:rsidR="00C876C8">
        <w:rPr>
          <w:rFonts w:ascii="Arial Narrow" w:hAnsi="Arial Narrow" w:cs="Arial"/>
          <w:b/>
          <w:szCs w:val="28"/>
          <w:lang w:val="es-MX"/>
        </w:rPr>
        <w:t xml:space="preserve"> </w:t>
      </w:r>
      <w:r w:rsidR="00C876C8">
        <w:rPr>
          <w:rFonts w:ascii="Arial Narrow" w:hAnsi="Arial Narrow" w:cs="Arial"/>
          <w:szCs w:val="28"/>
          <w:lang w:val="es-MX"/>
        </w:rPr>
        <w:t>para la partida única.</w:t>
      </w: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F111DC" w:rsidRPr="00F111DC" w:rsidRDefault="00F111DC" w:rsidP="00C20EA7">
      <w:pPr>
        <w:jc w:val="both"/>
        <w:rPr>
          <w:rFonts w:ascii="Arial Narrow" w:hAnsi="Arial Narrow" w:cs="Arial"/>
          <w:b/>
          <w:sz w:val="36"/>
          <w:szCs w:val="16"/>
          <w:lang w:val="es-MX"/>
        </w:rPr>
      </w:pPr>
      <w:r w:rsidRPr="00F111DC">
        <w:rPr>
          <w:rFonts w:ascii="Arial Narrow" w:hAnsi="Arial Narrow" w:cs="Arial"/>
          <w:b/>
          <w:sz w:val="28"/>
          <w:szCs w:val="20"/>
          <w:lang w:val="es-MX"/>
        </w:rPr>
        <w:t>PROYECTOS Y SOLUCIONES EDIFICARE S DE R.L. DE C.V.</w:t>
      </w: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C20EA7" w:rsidRPr="009055AF" w:rsidRDefault="00C20EA7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9055AF" w:rsidRDefault="009055AF" w:rsidP="00BA641C">
      <w:pPr>
        <w:rPr>
          <w:rFonts w:ascii="Arial Narrow" w:hAnsi="Arial Narrow" w:cs="Arial"/>
          <w:b/>
          <w:bCs/>
          <w:szCs w:val="22"/>
        </w:rPr>
      </w:pPr>
    </w:p>
    <w:p w:rsidR="00F111DC" w:rsidRPr="00F111DC" w:rsidRDefault="00F111DC" w:rsidP="00C20EA7">
      <w:pPr>
        <w:jc w:val="both"/>
        <w:rPr>
          <w:rFonts w:ascii="Arial Narrow" w:hAnsi="Arial Narrow" w:cs="Arial"/>
          <w:b/>
          <w:sz w:val="28"/>
          <w:szCs w:val="20"/>
          <w:lang w:val="es-MX"/>
        </w:rPr>
      </w:pPr>
      <w:r w:rsidRPr="00F111DC">
        <w:rPr>
          <w:rFonts w:ascii="Arial Narrow" w:hAnsi="Arial Narrow" w:cs="Arial"/>
          <w:b/>
          <w:sz w:val="28"/>
          <w:szCs w:val="20"/>
          <w:lang w:val="es-MX"/>
        </w:rPr>
        <w:t xml:space="preserve">ABASTECEDORA JEADLED DE PUEBLA S.A. DE C.V. </w:t>
      </w: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2E5144" w:rsidRPr="00A60608" w:rsidRDefault="002E5144" w:rsidP="002E5144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continuación, se puntualiza que atendiendo a la naturaleza de las funciones concretas de la Dirección de Administración y Finanzas, siendo ésta una instancia administrativa en lo relativo al procedimiento de adquisición, razón por la cual la responsiva del análisis técnico sobre los servicios  r</w:t>
      </w:r>
      <w:r>
        <w:rPr>
          <w:rFonts w:ascii="Arial Narrow" w:hAnsi="Arial Narrow"/>
          <w:lang w:val="es-MX"/>
        </w:rPr>
        <w:t>equeridos, corresponden al</w:t>
      </w:r>
      <w:r w:rsidRPr="00267553">
        <w:rPr>
          <w:rFonts w:ascii="Arial Narrow" w:hAnsi="Arial Narrow"/>
          <w:lang w:val="es-MX"/>
        </w:rPr>
        <w:t xml:space="preserve"> área</w:t>
      </w:r>
      <w:r>
        <w:rPr>
          <w:rFonts w:ascii="Arial Narrow" w:hAnsi="Arial Narrow"/>
          <w:lang w:val="es-MX"/>
        </w:rPr>
        <w:t xml:space="preserve"> requirente, a cargo del</w:t>
      </w:r>
      <w:r w:rsidR="0066352F" w:rsidRPr="0066352F">
        <w:rPr>
          <w:rFonts w:ascii="Arial Narrow" w:hAnsi="Arial Narrow"/>
          <w:lang w:val="es-MX"/>
        </w:rPr>
        <w:t xml:space="preserve"> </w:t>
      </w:r>
      <w:r w:rsidR="0066352F">
        <w:rPr>
          <w:rFonts w:ascii="Arial Narrow" w:hAnsi="Arial Narrow"/>
          <w:lang w:val="es-MX"/>
        </w:rPr>
        <w:t>Lic. Juan Manuel Olivares Jasso, Jefe de Departamento de Servicios Escolares</w:t>
      </w:r>
      <w:r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ya que como resultado de su labor y funciones públicas tiene pleno conocimiento de las características, particularidades y demás aspectos inherentes a la adquisición de </w:t>
      </w:r>
      <w:r>
        <w:rPr>
          <w:rFonts w:ascii="Arial Narrow" w:hAnsi="Arial Narrow"/>
          <w:lang w:val="es-MX"/>
        </w:rPr>
        <w:t>los bienes y s</w:t>
      </w:r>
      <w:r w:rsidRPr="00A60608">
        <w:rPr>
          <w:rFonts w:ascii="Arial Narrow" w:hAnsi="Arial Narrow"/>
          <w:lang w:val="es-MX"/>
        </w:rPr>
        <w:t>ervicios solicitados, por lo que la Dirección de Administración y Finanzas sólo determinará la procedencia de la adquisición respecto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F111DC" w:rsidRPr="00F111DC" w:rsidRDefault="005B43CE" w:rsidP="00F111DC">
      <w:pPr>
        <w:jc w:val="both"/>
        <w:rPr>
          <w:rFonts w:ascii="Arial Narrow" w:hAnsi="Arial Narrow" w:cs="Arial"/>
          <w:b/>
          <w:sz w:val="32"/>
          <w:szCs w:val="16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427ED1" w:rsidRPr="00A60608">
        <w:rPr>
          <w:rFonts w:ascii="Arial Narrow" w:hAnsi="Arial Narrow" w:cs="Arial"/>
          <w:lang w:val="es-MX"/>
        </w:rPr>
        <w:t>Adjudicar al proveedor</w:t>
      </w:r>
      <w:r w:rsidR="00F111DC" w:rsidRPr="00F111DC">
        <w:rPr>
          <w:rFonts w:ascii="Arial Narrow" w:hAnsi="Arial Narrow" w:cs="Arial"/>
          <w:b/>
          <w:sz w:val="28"/>
          <w:szCs w:val="20"/>
          <w:lang w:val="es-MX"/>
        </w:rPr>
        <w:t xml:space="preserve"> </w:t>
      </w:r>
      <w:r w:rsidR="00F111DC" w:rsidRPr="00F111DC">
        <w:rPr>
          <w:rFonts w:ascii="Arial Narrow" w:hAnsi="Arial Narrow" w:cs="Arial"/>
          <w:b/>
          <w:szCs w:val="20"/>
          <w:lang w:val="es-MX"/>
        </w:rPr>
        <w:t>PROYECTOS Y SOLUCIONES EDIFICARE S</w:t>
      </w:r>
      <w:r w:rsidR="00217FEB">
        <w:rPr>
          <w:rFonts w:ascii="Arial Narrow" w:hAnsi="Arial Narrow" w:cs="Arial"/>
          <w:b/>
          <w:szCs w:val="20"/>
          <w:lang w:val="es-MX"/>
        </w:rPr>
        <w:t>.</w:t>
      </w:r>
      <w:bookmarkStart w:id="0" w:name="_GoBack"/>
      <w:bookmarkEnd w:id="0"/>
      <w:r w:rsidR="00F111DC" w:rsidRPr="00F111DC">
        <w:rPr>
          <w:rFonts w:ascii="Arial Narrow" w:hAnsi="Arial Narrow" w:cs="Arial"/>
          <w:b/>
          <w:szCs w:val="20"/>
          <w:lang w:val="es-MX"/>
        </w:rPr>
        <w:t xml:space="preserve"> DE R.L. DE C.V.</w:t>
      </w:r>
    </w:p>
    <w:p w:rsidR="005B43CE" w:rsidRPr="00A60608" w:rsidRDefault="00427ED1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lastRenderedPageBreak/>
        <w:t xml:space="preserve"> de acuerdo con el análisis y dictamen técnico-administrativo realizado, por haber cumplido con los requisitos solicitados de la convocatoria y con fundamento en el </w:t>
      </w:r>
      <w:r w:rsidR="00D37DF1" w:rsidRPr="00A60608">
        <w:rPr>
          <w:rFonts w:ascii="Arial Narrow" w:hAnsi="Arial Narrow" w:cs="Arial"/>
          <w:lang w:val="es-MX"/>
        </w:rPr>
        <w:t>artículo</w:t>
      </w:r>
      <w:r w:rsidR="00723BB3">
        <w:rPr>
          <w:rFonts w:ascii="Arial Narrow" w:hAnsi="Arial Narrow" w:cs="Arial"/>
          <w:lang w:val="es-MX"/>
        </w:rPr>
        <w:t xml:space="preserve"> 56 de la Ley, </w:t>
      </w:r>
      <w:r w:rsidR="00207369" w:rsidRPr="00A60608">
        <w:rPr>
          <w:rFonts w:ascii="Arial Narrow" w:hAnsi="Arial Narrow" w:cs="Arial"/>
          <w:lang w:val="es-MX"/>
        </w:rPr>
        <w:t>por haber presentado la proposición y haber obtenido resultado positivo con base en la evaluación binaria</w:t>
      </w:r>
      <w:r w:rsidR="006A0A14">
        <w:rPr>
          <w:rFonts w:ascii="Arial Narrow" w:hAnsi="Arial Narrow" w:cs="Arial"/>
          <w:lang w:val="es-MX"/>
        </w:rPr>
        <w:t xml:space="preserve"> ya que comparada su oferta recibida, ésta resultó menor que la de los 2 restantes participantes señalados en el acta de apertura por lo que se resuelve que esta oferta se ACEPTA</w:t>
      </w:r>
      <w:r w:rsidR="00207369" w:rsidRPr="00A60608">
        <w:rPr>
          <w:rFonts w:ascii="Arial Narrow" w:hAnsi="Arial Narrow" w:cs="Arial"/>
          <w:lang w:val="es-MX"/>
        </w:rPr>
        <w:t xml:space="preserve"> </w:t>
      </w:r>
      <w:r w:rsidR="00C876C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 xml:space="preserve">para la </w:t>
      </w:r>
      <w:r w:rsidR="00D37DF1" w:rsidRPr="00A60608">
        <w:rPr>
          <w:rFonts w:ascii="Arial Narrow" w:hAnsi="Arial Narrow" w:cs="Arial"/>
          <w:b/>
          <w:lang w:val="es-MX"/>
        </w:rPr>
        <w:t>partida única</w:t>
      </w:r>
      <w:r w:rsidR="00207369" w:rsidRPr="00A60608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 xml:space="preserve">por </w:t>
      </w:r>
      <w:proofErr w:type="gramStart"/>
      <w:r w:rsidR="00207369" w:rsidRPr="00A60608">
        <w:rPr>
          <w:rFonts w:ascii="Arial Narrow" w:hAnsi="Arial Narrow" w:cs="Arial"/>
          <w:lang w:val="es-MX"/>
        </w:rPr>
        <w:t>el</w:t>
      </w:r>
      <w:proofErr w:type="gramEnd"/>
      <w:r w:rsidR="00207369" w:rsidRPr="00A60608">
        <w:rPr>
          <w:rFonts w:ascii="Arial Narrow" w:hAnsi="Arial Narrow" w:cs="Arial"/>
          <w:lang w:val="es-MX"/>
        </w:rPr>
        <w:t xml:space="preserve"> monto </w:t>
      </w:r>
      <w:r w:rsidR="00207369" w:rsidRPr="00F111DC">
        <w:rPr>
          <w:rFonts w:ascii="Arial Narrow" w:hAnsi="Arial Narrow" w:cs="Arial"/>
          <w:highlight w:val="yellow"/>
          <w:lang w:val="es-MX"/>
        </w:rPr>
        <w:t>de</w:t>
      </w:r>
      <w:r w:rsidR="001807D5" w:rsidRPr="00F111DC">
        <w:rPr>
          <w:rFonts w:ascii="Arial Narrow" w:hAnsi="Arial Narrow" w:cs="Arial"/>
          <w:b/>
          <w:highlight w:val="yellow"/>
          <w:lang w:val="es-MX"/>
        </w:rPr>
        <w:t xml:space="preserve"> $</w:t>
      </w:r>
      <w:r w:rsidR="00675D4A" w:rsidRPr="00F111DC">
        <w:rPr>
          <w:rFonts w:ascii="Arial Narrow" w:hAnsi="Arial Narrow" w:cs="Arial"/>
          <w:b/>
          <w:highlight w:val="yellow"/>
          <w:lang w:val="es-MX"/>
        </w:rPr>
        <w:t>325</w:t>
      </w:r>
      <w:r w:rsidR="00A8204C" w:rsidRPr="00F111DC">
        <w:rPr>
          <w:rFonts w:ascii="Arial Narrow" w:hAnsi="Arial Narrow" w:cs="Arial"/>
          <w:b/>
          <w:highlight w:val="yellow"/>
          <w:lang w:val="es-MX"/>
        </w:rPr>
        <w:t>,</w:t>
      </w:r>
      <w:r w:rsidR="00675D4A" w:rsidRPr="00F111DC">
        <w:rPr>
          <w:rFonts w:ascii="Arial Narrow" w:hAnsi="Arial Narrow" w:cs="Arial"/>
          <w:b/>
          <w:highlight w:val="yellow"/>
          <w:lang w:val="es-MX"/>
        </w:rPr>
        <w:t>793.98</w:t>
      </w:r>
      <w:r w:rsidR="00207369" w:rsidRPr="00F111DC">
        <w:rPr>
          <w:rFonts w:ascii="Arial Narrow" w:hAnsi="Arial Narrow" w:cs="Arial"/>
          <w:highlight w:val="yellow"/>
          <w:lang w:val="es-MX"/>
        </w:rPr>
        <w:t>(</w:t>
      </w:r>
      <w:r w:rsidR="00675D4A" w:rsidRPr="00F111DC">
        <w:rPr>
          <w:rFonts w:ascii="Arial Narrow" w:hAnsi="Arial Narrow" w:cs="Arial"/>
          <w:highlight w:val="yellow"/>
          <w:lang w:val="es-MX"/>
        </w:rPr>
        <w:t>Trescientos veinticinco mil setecientos noventa y tres pesos 98</w:t>
      </w:r>
      <w:r w:rsidR="00207369" w:rsidRPr="00F111DC">
        <w:rPr>
          <w:rFonts w:ascii="Arial Narrow" w:hAnsi="Arial Narrow" w:cs="Arial"/>
          <w:highlight w:val="yellow"/>
          <w:lang w:val="es-MX"/>
        </w:rPr>
        <w:t xml:space="preserve">/100 M.N.) </w:t>
      </w:r>
      <w:r w:rsidR="00A60608" w:rsidRPr="00F111DC">
        <w:rPr>
          <w:rFonts w:ascii="Arial Narrow" w:hAnsi="Arial Narrow" w:cs="Arial"/>
          <w:highlight w:val="yellow"/>
          <w:lang w:val="es-MX"/>
        </w:rPr>
        <w:t xml:space="preserve">más </w:t>
      </w:r>
      <w:r w:rsidR="00207369" w:rsidRPr="00F111DC">
        <w:rPr>
          <w:rFonts w:ascii="Arial Narrow" w:hAnsi="Arial Narrow" w:cs="Arial"/>
          <w:highlight w:val="yellow"/>
          <w:lang w:val="es-MX"/>
        </w:rPr>
        <w:t>I.V.A.</w:t>
      </w:r>
      <w:r w:rsidR="00C84EB3" w:rsidRPr="00F111DC">
        <w:rPr>
          <w:rFonts w:ascii="Arial Narrow" w:hAnsi="Arial Narrow" w:cs="Arial"/>
          <w:highlight w:val="yellow"/>
          <w:lang w:val="es-MX"/>
        </w:rPr>
        <w:t xml:space="preserve"> </w:t>
      </w:r>
      <w:r w:rsidR="00207369" w:rsidRPr="00F111DC">
        <w:rPr>
          <w:rFonts w:ascii="Arial Narrow" w:hAnsi="Arial Narrow" w:cs="Arial"/>
          <w:highlight w:val="yellow"/>
          <w:lang w:val="es-MX"/>
        </w:rPr>
        <w:t>conforme a los precios expresados en su propuesta.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66352F">
        <w:rPr>
          <w:rFonts w:ascii="Arial Narrow" w:hAnsi="Arial Narrow" w:cs="Arial"/>
          <w:lang w:val="es-MX"/>
        </w:rPr>
        <w:t>3</w:t>
      </w:r>
      <w:r w:rsidR="00D00790" w:rsidRPr="00A60608">
        <w:rPr>
          <w:rFonts w:ascii="Arial Narrow" w:hAnsi="Arial Narrow" w:cs="Arial"/>
          <w:lang w:val="es-MX"/>
        </w:rPr>
        <w:t>:</w:t>
      </w:r>
      <w:r w:rsidR="009C3759">
        <w:rPr>
          <w:rFonts w:ascii="Arial Narrow" w:hAnsi="Arial Narrow" w:cs="Arial"/>
          <w:lang w:val="es-MX"/>
        </w:rPr>
        <w:t>10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A8204C" w:rsidRPr="006E55B6" w:rsidRDefault="00A8204C" w:rsidP="00A8204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A8204C" w:rsidRDefault="00A8204C" w:rsidP="00A8204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F111DC" w:rsidRDefault="00F111DC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281002">
        <w:rPr>
          <w:rFonts w:ascii="Arial" w:hAnsi="Arial" w:cs="Arial"/>
          <w:b/>
          <w:lang w:val="es-MX"/>
        </w:rPr>
        <w:t>VICTOR ISRAEL HERNÀNDEZ VÀZQUEZ</w:t>
      </w:r>
    </w:p>
    <w:p w:rsidR="002E5144" w:rsidRDefault="002E5144" w:rsidP="002E51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F111DC" w:rsidRDefault="00F111DC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2E5144" w:rsidRDefault="00675D4A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Titula de la Unidad Auditora </w:t>
      </w:r>
      <w:r w:rsidR="002E5144">
        <w:rPr>
          <w:rFonts w:ascii="Arial" w:hAnsi="Arial" w:cs="Arial"/>
          <w:lang w:val="es-MX"/>
        </w:rPr>
        <w:t>Órgano I</w:t>
      </w:r>
      <w:r w:rsidR="002E5144" w:rsidRPr="00CE2A04">
        <w:rPr>
          <w:rFonts w:ascii="Arial" w:hAnsi="Arial" w:cs="Arial"/>
          <w:lang w:val="es-MX"/>
        </w:rPr>
        <w:t>nterno de Control</w:t>
      </w:r>
    </w:p>
    <w:p w:rsidR="002E5144" w:rsidRDefault="002E5144" w:rsidP="002E5144">
      <w:pPr>
        <w:rPr>
          <w:rFonts w:ascii="Arial" w:hAnsi="Arial" w:cs="Arial"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PAOLA </w:t>
      </w:r>
      <w:r w:rsidR="00675D4A">
        <w:rPr>
          <w:rFonts w:ascii="Arial" w:hAnsi="Arial" w:cs="Arial"/>
          <w:b/>
          <w:lang w:val="es-MX"/>
        </w:rPr>
        <w:t xml:space="preserve">ANGÈLICA </w:t>
      </w:r>
      <w:r>
        <w:rPr>
          <w:rFonts w:ascii="Arial" w:hAnsi="Arial" w:cs="Arial"/>
          <w:b/>
          <w:lang w:val="es-MX"/>
        </w:rPr>
        <w:t>VALDÉS CORDOVA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675D4A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</w:t>
      </w:r>
      <w:r w:rsidR="0066352F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b/>
          <w:lang w:val="es-MX"/>
        </w:rPr>
        <w:t xml:space="preserve"> en Ed.</w:t>
      </w:r>
      <w:r w:rsidR="0066352F">
        <w:rPr>
          <w:rFonts w:ascii="Arial" w:hAnsi="Arial" w:cs="Arial"/>
          <w:b/>
          <w:lang w:val="es-MX"/>
        </w:rPr>
        <w:t xml:space="preserve"> AMANDA MIROSLAVA HERRERA DE LUNA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Adquisiciones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Pr="004908F2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66352F" w:rsidRPr="0066352F" w:rsidRDefault="00F111DC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JUAN CARLOS JIMÈNEZ VELÀZQUEZ</w:t>
      </w:r>
    </w:p>
    <w:p w:rsidR="00B30B2A" w:rsidRDefault="00F111DC" w:rsidP="00B30B2A">
      <w:pPr>
        <w:jc w:val="both"/>
        <w:rPr>
          <w:rFonts w:ascii="Arial Narrow" w:hAnsi="Arial Narrow" w:cs="Arial"/>
          <w:b/>
          <w:lang w:val="es-MX"/>
        </w:rPr>
      </w:pPr>
      <w:r>
        <w:rPr>
          <w:rFonts w:ascii="Arial" w:hAnsi="Arial" w:cs="Arial"/>
          <w:lang w:val="es-MX"/>
        </w:rPr>
        <w:t>Jefe de Departamento de Mantenimiento e Instalaciones</w:t>
      </w: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ACTA DE FALLO</w:t>
      </w:r>
    </w:p>
    <w:p w:rsidR="00755266" w:rsidRPr="00A60608" w:rsidRDefault="00F111DC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20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 w:rsidR="00281002">
        <w:rPr>
          <w:rFonts w:ascii="Arial Narrow" w:hAnsi="Arial Narrow" w:cs="Arial"/>
          <w:lang w:val="es-MX"/>
        </w:rPr>
        <w:t>SEPTIEMBRE</w:t>
      </w:r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DA" w:rsidRDefault="00F60BDA">
      <w:r>
        <w:separator/>
      </w:r>
    </w:p>
  </w:endnote>
  <w:endnote w:type="continuationSeparator" w:id="0">
    <w:p w:rsidR="00F60BDA" w:rsidRDefault="00F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217FEB">
      <w:rPr>
        <w:rFonts w:ascii="Arial" w:hAnsi="Arial" w:cs="Arial"/>
        <w:b/>
        <w:noProof/>
        <w:sz w:val="18"/>
        <w:szCs w:val="18"/>
      </w:rPr>
      <w:t>3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217FEB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DA" w:rsidRDefault="00F60BDA">
      <w:r>
        <w:separator/>
      </w:r>
    </w:p>
  </w:footnote>
  <w:footnote w:type="continuationSeparator" w:id="0">
    <w:p w:rsidR="00F60BDA" w:rsidRDefault="00F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F111DC" w:rsidRDefault="00AB2299" w:rsidP="00F111D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111DC">
            <w:rPr>
              <w:rFonts w:ascii="Arial Narrow" w:hAnsi="Arial Narrow"/>
              <w:sz w:val="16"/>
              <w:szCs w:val="16"/>
              <w:lang w:val="es-MX"/>
            </w:rPr>
            <w:t>UTA-ICTPM-10-23</w:t>
          </w:r>
        </w:p>
        <w:p w:rsidR="00F111DC" w:rsidRPr="007B303E" w:rsidRDefault="00F111DC" w:rsidP="00F111DC">
          <w:pPr>
            <w:pStyle w:val="Encabezado"/>
            <w:jc w:val="right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 w:cs="Arial"/>
              <w:sz w:val="16"/>
              <w:szCs w:val="16"/>
            </w:rPr>
            <w:t xml:space="preserve">PARA LA </w:t>
          </w:r>
          <w:r w:rsidRPr="00E14E9C">
            <w:rPr>
              <w:rFonts w:ascii="Arial Narrow" w:hAnsi="Arial Narrow" w:cs="Arial"/>
              <w:sz w:val="16"/>
              <w:szCs w:val="16"/>
            </w:rPr>
            <w:t>CONTRATACIÓN DE SERVICIOS DE DISEÑO, ARQUITECTURA, DE INGENIERÍA Y ACTIVIDADES RELACIONADAS (SERVICIO DE PERITAJE ESTRUCTURAL, ELECTRICO Y LINEAS DE GAS)</w:t>
          </w:r>
          <w:r>
            <w:rPr>
              <w:rFonts w:ascii="Arial Narrow" w:hAnsi="Arial Narrow" w:cs="Arial"/>
              <w:sz w:val="16"/>
              <w:szCs w:val="16"/>
            </w:rPr>
            <w:t>.</w:t>
          </w:r>
        </w:p>
        <w:p w:rsidR="001715FE" w:rsidRDefault="001715FE" w:rsidP="00F111D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3CAB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95805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17FEB"/>
    <w:rsid w:val="00226DAA"/>
    <w:rsid w:val="002315F7"/>
    <w:rsid w:val="00235220"/>
    <w:rsid w:val="00242381"/>
    <w:rsid w:val="00243C11"/>
    <w:rsid w:val="0024424D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1002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5144"/>
    <w:rsid w:val="002E752C"/>
    <w:rsid w:val="002F1650"/>
    <w:rsid w:val="002F6BD4"/>
    <w:rsid w:val="003026AD"/>
    <w:rsid w:val="00303644"/>
    <w:rsid w:val="003070AA"/>
    <w:rsid w:val="00311724"/>
    <w:rsid w:val="0033377C"/>
    <w:rsid w:val="00333BD2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69AC"/>
    <w:rsid w:val="005E7CBF"/>
    <w:rsid w:val="005F00B7"/>
    <w:rsid w:val="005F118F"/>
    <w:rsid w:val="00601576"/>
    <w:rsid w:val="0060451D"/>
    <w:rsid w:val="00606E40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78B7"/>
    <w:rsid w:val="00660D7F"/>
    <w:rsid w:val="0066352F"/>
    <w:rsid w:val="006646C2"/>
    <w:rsid w:val="00665E13"/>
    <w:rsid w:val="00670957"/>
    <w:rsid w:val="00670A49"/>
    <w:rsid w:val="00671560"/>
    <w:rsid w:val="00675D4A"/>
    <w:rsid w:val="00676064"/>
    <w:rsid w:val="006820F9"/>
    <w:rsid w:val="006871AA"/>
    <w:rsid w:val="00690A60"/>
    <w:rsid w:val="00690E12"/>
    <w:rsid w:val="00695075"/>
    <w:rsid w:val="006A0A14"/>
    <w:rsid w:val="006A0DB8"/>
    <w:rsid w:val="006A305D"/>
    <w:rsid w:val="006A3D2C"/>
    <w:rsid w:val="006A4372"/>
    <w:rsid w:val="006A4C5B"/>
    <w:rsid w:val="006A5A9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2CE9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1D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3759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04C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7679"/>
    <w:rsid w:val="00B60D7F"/>
    <w:rsid w:val="00B64D3A"/>
    <w:rsid w:val="00B660BC"/>
    <w:rsid w:val="00B71D0B"/>
    <w:rsid w:val="00B74291"/>
    <w:rsid w:val="00B74BA3"/>
    <w:rsid w:val="00B773B8"/>
    <w:rsid w:val="00B8013D"/>
    <w:rsid w:val="00B85E06"/>
    <w:rsid w:val="00B92532"/>
    <w:rsid w:val="00B93575"/>
    <w:rsid w:val="00BA0076"/>
    <w:rsid w:val="00BA0985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0EA7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4498A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0728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E74F5"/>
    <w:rsid w:val="00EF3E2F"/>
    <w:rsid w:val="00EF59DF"/>
    <w:rsid w:val="00F04D14"/>
    <w:rsid w:val="00F075A6"/>
    <w:rsid w:val="00F111DC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0BDA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7E6C-BFC7-471B-A928-8B6639E3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Amanda Miroslava Herrera de Luna</cp:lastModifiedBy>
  <cp:revision>80</cp:revision>
  <cp:lastPrinted>2023-05-31T20:16:00Z</cp:lastPrinted>
  <dcterms:created xsi:type="dcterms:W3CDTF">2021-02-16T15:29:00Z</dcterms:created>
  <dcterms:modified xsi:type="dcterms:W3CDTF">2023-09-20T14:37:00Z</dcterms:modified>
</cp:coreProperties>
</file>