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gramStart"/>
      <w:r w:rsidRPr="00A46EA5">
        <w:rPr>
          <w:rFonts w:ascii="Arial" w:hAnsi="Arial" w:cs="Arial"/>
          <w:sz w:val="24"/>
          <w:szCs w:val="24"/>
          <w:lang w:val="es-MX"/>
        </w:rPr>
        <w:t>a</w:t>
      </w:r>
      <w:proofErr w:type="gramEnd"/>
      <w:r w:rsidRPr="00A46EA5">
        <w:rPr>
          <w:rFonts w:ascii="Arial" w:hAnsi="Arial" w:cs="Arial"/>
          <w:sz w:val="24"/>
          <w:szCs w:val="24"/>
          <w:lang w:val="es-MX"/>
        </w:rPr>
        <w:t xml:space="preserve"> </w:t>
      </w:r>
      <w:r w:rsidR="0044485A">
        <w:rPr>
          <w:rFonts w:ascii="Arial" w:hAnsi="Arial" w:cs="Arial"/>
          <w:sz w:val="24"/>
          <w:szCs w:val="24"/>
          <w:lang w:val="es-MX"/>
        </w:rPr>
        <w:t>2</w:t>
      </w:r>
      <w:r w:rsidR="00114F5C">
        <w:rPr>
          <w:rFonts w:ascii="Arial" w:hAnsi="Arial" w:cs="Arial"/>
          <w:sz w:val="24"/>
          <w:szCs w:val="24"/>
          <w:lang w:val="es-MX"/>
        </w:rPr>
        <w:t>0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114F5C">
        <w:rPr>
          <w:rFonts w:ascii="Arial" w:hAnsi="Arial" w:cs="Arial"/>
          <w:sz w:val="24"/>
          <w:szCs w:val="24"/>
          <w:lang w:val="es-MX"/>
        </w:rPr>
        <w:t xml:space="preserve">Septiembre </w:t>
      </w:r>
      <w:r>
        <w:rPr>
          <w:rFonts w:ascii="Arial" w:hAnsi="Arial" w:cs="Arial"/>
          <w:sz w:val="24"/>
          <w:szCs w:val="24"/>
          <w:lang w:val="es-MX"/>
        </w:rPr>
        <w:t>de 202</w:t>
      </w:r>
      <w:r w:rsidR="00684531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Puest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114F5C" w:rsidRPr="00114F5C" w:rsidRDefault="00114F5C" w:rsidP="00114F5C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INVITACIÓN A CUANDO MENOS TRES PERSONAS POR MONTO</w:t>
      </w:r>
      <w:r>
        <w:rPr>
          <w:rFonts w:ascii="Arial Narrow" w:hAnsi="Arial Narrow" w:cs="Arial"/>
          <w:b/>
          <w:lang w:val="es-MX"/>
        </w:rPr>
        <w:t xml:space="preserve"> NÚ</w:t>
      </w:r>
      <w:r w:rsidRPr="00AB115A">
        <w:rPr>
          <w:rFonts w:ascii="Arial Narrow" w:hAnsi="Arial Narrow" w:cs="Arial"/>
          <w:b/>
          <w:lang w:val="es-MX"/>
        </w:rPr>
        <w:t xml:space="preserve">MERO </w:t>
      </w:r>
      <w:r>
        <w:rPr>
          <w:rFonts w:ascii="Arial Narrow" w:hAnsi="Arial Narrow"/>
          <w:b/>
          <w:lang w:val="es-MX"/>
        </w:rPr>
        <w:t>UTA-ICTPM-10</w:t>
      </w:r>
      <w:r w:rsidRPr="008028F2">
        <w:rPr>
          <w:rFonts w:ascii="Arial Narrow" w:hAnsi="Arial Narrow"/>
          <w:b/>
          <w:lang w:val="es-MX"/>
        </w:rPr>
        <w:t>-23</w:t>
      </w:r>
      <w:r>
        <w:rPr>
          <w:rFonts w:ascii="Arial Narrow" w:hAnsi="Arial Narrow"/>
          <w:b/>
          <w:lang w:val="es-MX"/>
        </w:rPr>
        <w:t xml:space="preserve"> PARA LA CONTRATACIÓN DE </w:t>
      </w:r>
      <w:r w:rsidRPr="00CC78FF">
        <w:rPr>
          <w:rFonts w:ascii="Arial Narrow" w:hAnsi="Arial Narrow"/>
          <w:b/>
          <w:lang w:val="es-MX"/>
        </w:rPr>
        <w:t>SERVICIOS DE DISEÑO, ARQUITECTURA, DE INGENIERÍA Y ACTIVIDADES RELACIONADAS</w:t>
      </w:r>
      <w:r>
        <w:rPr>
          <w:rFonts w:ascii="Arial Narrow" w:hAnsi="Arial Narrow"/>
          <w:b/>
          <w:lang w:val="es-MX"/>
        </w:rPr>
        <w:t xml:space="preserve"> (SERVICIO DE PERITAJE ESTRUCTURAL, ELECTRICO Y LINEAS DE GAS).</w:t>
      </w:r>
    </w:p>
    <w:p w:rsidR="005072C6" w:rsidRPr="003505B6" w:rsidRDefault="005072C6" w:rsidP="003505B6">
      <w:pPr>
        <w:pStyle w:val="Encabezado"/>
        <w:jc w:val="center"/>
        <w:rPr>
          <w:rFonts w:ascii="Arial Narrow" w:hAnsi="Arial Narrow"/>
          <w:b/>
          <w:sz w:val="24"/>
        </w:rPr>
      </w:pP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44485A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P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116EF7" w:rsidRPr="001C63ED" w:rsidTr="007632F2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116EF7" w:rsidRPr="00114F5C" w:rsidRDefault="00114F5C" w:rsidP="00114F5C">
            <w:pPr>
              <w:jc w:val="both"/>
              <w:rPr>
                <w:rFonts w:ascii="Arial Narrow" w:hAnsi="Arial Narrow" w:cs="Arial"/>
                <w:b/>
                <w:szCs w:val="20"/>
                <w:lang w:val="es-MX"/>
              </w:rPr>
            </w:pPr>
            <w:r w:rsidRPr="00114F5C">
              <w:rPr>
                <w:rFonts w:ascii="Arial Narrow" w:hAnsi="Arial Narrow" w:cs="Arial"/>
                <w:b/>
                <w:szCs w:val="20"/>
                <w:lang w:val="es-MX"/>
              </w:rPr>
              <w:t xml:space="preserve">CONSTRUCTORA E INMOBILIARIA GAEN S.A. DE C.V. </w:t>
            </w:r>
          </w:p>
        </w:tc>
        <w:tc>
          <w:tcPr>
            <w:tcW w:w="2661" w:type="pct"/>
            <w:vAlign w:val="center"/>
          </w:tcPr>
          <w:p w:rsidR="00116EF7" w:rsidRPr="00D43351" w:rsidRDefault="00114F5C" w:rsidP="008C708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>No</w:t>
            </w:r>
            <w:r w:rsidR="00116EF7"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 </w:t>
            </w:r>
            <w:r w:rsidR="00116EF7">
              <w:rPr>
                <w:rFonts w:ascii="Arial" w:hAnsi="Arial" w:cs="Arial"/>
                <w:sz w:val="18"/>
                <w:szCs w:val="24"/>
                <w:lang w:val="es-MX"/>
              </w:rPr>
              <w:t xml:space="preserve">cumple las especificaciones técnicas para la partida </w:t>
            </w:r>
            <w:r w:rsidR="008C7082">
              <w:rPr>
                <w:rFonts w:ascii="Arial" w:hAnsi="Arial" w:cs="Arial"/>
                <w:sz w:val="18"/>
                <w:szCs w:val="24"/>
                <w:lang w:val="es-MX"/>
              </w:rPr>
              <w:t>única.</w:t>
            </w:r>
          </w:p>
        </w:tc>
      </w:tr>
      <w:tr w:rsidR="00116EF7" w:rsidRPr="001C63ED" w:rsidTr="00684531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116EF7" w:rsidRPr="00114F5C" w:rsidRDefault="00114F5C" w:rsidP="00114F5C">
            <w:pPr>
              <w:jc w:val="both"/>
              <w:rPr>
                <w:rFonts w:ascii="Arial Narrow" w:hAnsi="Arial Narrow" w:cs="Arial"/>
                <w:b/>
                <w:szCs w:val="16"/>
                <w:lang w:val="es-MX"/>
              </w:rPr>
            </w:pPr>
            <w:r w:rsidRPr="00114F5C">
              <w:rPr>
                <w:rFonts w:ascii="Arial Narrow" w:hAnsi="Arial Narrow" w:cs="Arial"/>
                <w:b/>
                <w:szCs w:val="20"/>
                <w:lang w:val="es-MX"/>
              </w:rPr>
              <w:t>PROYECTOS Y SOLUCIONES EDIFICARE S DE R.L.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8C708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 xml:space="preserve">cumple las especificaciones técnicas para la partida </w:t>
            </w:r>
            <w:r w:rsidR="008C7082">
              <w:rPr>
                <w:rFonts w:ascii="Arial" w:hAnsi="Arial" w:cs="Arial"/>
                <w:sz w:val="18"/>
                <w:szCs w:val="24"/>
                <w:lang w:val="es-MX"/>
              </w:rPr>
              <w:t>única.</w:t>
            </w:r>
            <w:bookmarkStart w:id="0" w:name="_GoBack"/>
            <w:bookmarkEnd w:id="0"/>
          </w:p>
        </w:tc>
      </w:tr>
      <w:tr w:rsidR="00116EF7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116EF7" w:rsidRPr="00114F5C" w:rsidRDefault="00114F5C" w:rsidP="00114F5C">
            <w:pPr>
              <w:jc w:val="both"/>
              <w:rPr>
                <w:rFonts w:ascii="Arial Narrow" w:hAnsi="Arial Narrow" w:cs="Arial"/>
                <w:b/>
                <w:szCs w:val="20"/>
                <w:lang w:val="es-MX"/>
              </w:rPr>
            </w:pPr>
            <w:r w:rsidRPr="00114F5C">
              <w:rPr>
                <w:rFonts w:ascii="Arial Narrow" w:hAnsi="Arial Narrow" w:cs="Arial"/>
                <w:b/>
                <w:szCs w:val="20"/>
                <w:lang w:val="es-MX"/>
              </w:rPr>
              <w:t xml:space="preserve">ABASTECEDORA JEADLED DE PUEBLA S.A. DE C.V. 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8C7082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 xml:space="preserve">cumple las especificaciones técnicas para la partida </w:t>
            </w:r>
            <w:r w:rsidR="008C7082">
              <w:rPr>
                <w:rFonts w:ascii="Arial" w:hAnsi="Arial" w:cs="Arial"/>
                <w:sz w:val="18"/>
                <w:szCs w:val="24"/>
                <w:lang w:val="es-MX"/>
              </w:rPr>
              <w:t>única.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114F5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ING. JUAN CARLOS JIMÈNEZ VELÀZQUEZ</w:t>
      </w:r>
    </w:p>
    <w:p w:rsidR="00C526DB" w:rsidRDefault="00114F5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JEFE DE DEPARTAMENTO DE MANTENIMIENTO E INSTALACIONES</w:t>
      </w: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DC" w:rsidRDefault="00583FDC" w:rsidP="00A11467">
      <w:pPr>
        <w:spacing w:after="0" w:line="240" w:lineRule="auto"/>
      </w:pPr>
      <w:r>
        <w:separator/>
      </w:r>
    </w:p>
  </w:endnote>
  <w:endnote w:type="continuationSeparator" w:id="0">
    <w:p w:rsidR="00583FDC" w:rsidRDefault="00583FDC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8C7082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8C7082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DC" w:rsidRDefault="00583FDC" w:rsidP="00A11467">
      <w:pPr>
        <w:spacing w:after="0" w:line="240" w:lineRule="auto"/>
      </w:pPr>
      <w:r>
        <w:separator/>
      </w:r>
    </w:p>
  </w:footnote>
  <w:footnote w:type="continuationSeparator" w:id="0">
    <w:p w:rsidR="00583FDC" w:rsidRDefault="00583FDC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14F5C"/>
    <w:rsid w:val="00116EF7"/>
    <w:rsid w:val="0012776F"/>
    <w:rsid w:val="0016791C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4485A"/>
    <w:rsid w:val="00450534"/>
    <w:rsid w:val="00473D41"/>
    <w:rsid w:val="004A1C5B"/>
    <w:rsid w:val="004B6911"/>
    <w:rsid w:val="004D7E20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83FDC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082"/>
    <w:rsid w:val="008C7B29"/>
    <w:rsid w:val="008E2FEF"/>
    <w:rsid w:val="008F0CB3"/>
    <w:rsid w:val="00901D6E"/>
    <w:rsid w:val="00911A3D"/>
    <w:rsid w:val="00932A68"/>
    <w:rsid w:val="0094035E"/>
    <w:rsid w:val="009543B0"/>
    <w:rsid w:val="009655F7"/>
    <w:rsid w:val="009732AA"/>
    <w:rsid w:val="00974049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47F44"/>
    <w:rsid w:val="00C526DB"/>
    <w:rsid w:val="00C67702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FE42-CC7B-40EA-95EE-70D93D59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12</cp:revision>
  <cp:lastPrinted>2022-01-26T17:47:00Z</cp:lastPrinted>
  <dcterms:created xsi:type="dcterms:W3CDTF">2021-10-01T19:39:00Z</dcterms:created>
  <dcterms:modified xsi:type="dcterms:W3CDTF">2023-09-20T15:06:00Z</dcterms:modified>
</cp:coreProperties>
</file>